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7D787B" w14:textId="77777777" w:rsidR="002B1BED" w:rsidRPr="0028203A" w:rsidRDefault="0002598A" w:rsidP="002B1BED">
      <w:pPr>
        <w:jc w:val="center"/>
        <w:rPr>
          <w:rFonts w:asciiTheme="majorHAnsi" w:hAnsiTheme="majorHAnsi" w:cstheme="majorHAnsi"/>
          <w:b/>
          <w:bCs/>
          <w:szCs w:val="24"/>
          <w:u w:val="single"/>
        </w:rPr>
      </w:pPr>
      <w:r w:rsidRPr="0028203A">
        <w:rPr>
          <w:rFonts w:asciiTheme="majorHAnsi" w:hAnsiTheme="majorHAnsi" w:cstheme="majorHAnsi"/>
          <w:b/>
          <w:bCs/>
          <w:szCs w:val="24"/>
          <w:u w:val="single"/>
        </w:rPr>
        <w:t>Questions</w:t>
      </w:r>
    </w:p>
    <w:p w14:paraId="227C1D51" w14:textId="77777777" w:rsidR="002B1BED" w:rsidRDefault="002B1BED" w:rsidP="000C5F92">
      <w:pPr>
        <w:spacing w:line="240" w:lineRule="auto"/>
        <w:ind w:left="720" w:hanging="360"/>
      </w:pPr>
    </w:p>
    <w:p w14:paraId="41E958EC" w14:textId="70BF4488" w:rsidR="000C5F92" w:rsidRPr="002B1BED" w:rsidRDefault="0002598A" w:rsidP="000C5F92">
      <w:pPr>
        <w:pStyle w:val="ListParagraph"/>
        <w:numPr>
          <w:ilvl w:val="0"/>
          <w:numId w:val="1"/>
        </w:numPr>
        <w:spacing w:after="0" w:line="240" w:lineRule="auto"/>
        <w:rPr>
          <w:rFonts w:asciiTheme="majorHAnsi" w:eastAsia="Times New Roman" w:hAnsiTheme="majorHAnsi" w:cstheme="majorHAnsi"/>
          <w:b/>
          <w:bCs/>
          <w:sz w:val="24"/>
          <w:szCs w:val="24"/>
          <w:lang w:val="en"/>
        </w:rPr>
      </w:pPr>
      <w:r w:rsidRPr="002B1BED">
        <w:rPr>
          <w:rFonts w:asciiTheme="majorHAnsi" w:eastAsia="Times New Roman" w:hAnsiTheme="majorHAnsi" w:cstheme="majorHAnsi"/>
          <w:b/>
          <w:bCs/>
          <w:sz w:val="24"/>
          <w:szCs w:val="24"/>
          <w:lang w:val="en"/>
        </w:rPr>
        <w:t xml:space="preserve">What is a business combination? </w:t>
      </w:r>
    </w:p>
    <w:p w14:paraId="0DD50413" w14:textId="45BF8D30" w:rsidR="00857269" w:rsidRDefault="0002598A" w:rsidP="00857269">
      <w:pPr>
        <w:spacing w:line="240" w:lineRule="auto"/>
        <w:rPr>
          <w:rFonts w:asciiTheme="majorHAnsi" w:eastAsia="Times New Roman" w:hAnsiTheme="majorHAnsi" w:cstheme="majorHAnsi"/>
          <w:szCs w:val="24"/>
          <w:lang w:val="en"/>
        </w:rPr>
      </w:pPr>
      <w:r>
        <w:rPr>
          <w:rFonts w:asciiTheme="majorHAnsi" w:eastAsia="Times New Roman" w:hAnsiTheme="majorHAnsi" w:cstheme="majorHAnsi"/>
          <w:szCs w:val="24"/>
          <w:lang w:val="en"/>
        </w:rPr>
        <w:t>A</w:t>
      </w:r>
      <w:bookmarkStart w:id="0" w:name="_GoBack"/>
      <w:bookmarkEnd w:id="0"/>
      <w:r>
        <w:rPr>
          <w:rFonts w:asciiTheme="majorHAnsi" w:eastAsia="Times New Roman" w:hAnsiTheme="majorHAnsi" w:cstheme="majorHAnsi"/>
          <w:szCs w:val="24"/>
          <w:lang w:val="en"/>
        </w:rPr>
        <w:t xml:space="preserve"> business combination is the uniting of two or more organizations to form a single organization under  common ownership</w:t>
      </w:r>
    </w:p>
    <w:p w14:paraId="04FCD93C" w14:textId="3F80947D" w:rsidR="00857269" w:rsidRPr="002B1BED" w:rsidRDefault="0002598A" w:rsidP="002B1BED">
      <w:pPr>
        <w:spacing w:line="240" w:lineRule="auto"/>
        <w:rPr>
          <w:rFonts w:asciiTheme="majorHAnsi" w:eastAsia="Times New Roman" w:hAnsiTheme="majorHAnsi" w:cstheme="majorHAnsi"/>
          <w:b/>
          <w:bCs/>
          <w:szCs w:val="24"/>
          <w:lang w:val="en"/>
        </w:rPr>
      </w:pPr>
      <w:r>
        <w:rPr>
          <w:rFonts w:asciiTheme="majorHAnsi" w:eastAsia="Times New Roman" w:hAnsiTheme="majorHAnsi" w:cstheme="majorHAnsi"/>
          <w:b/>
          <w:bCs/>
          <w:szCs w:val="24"/>
          <w:lang w:val="en"/>
        </w:rPr>
        <w:t>2.</w:t>
      </w:r>
      <w:r w:rsidRPr="002B1BED">
        <w:rPr>
          <w:rFonts w:asciiTheme="majorHAnsi" w:eastAsia="Times New Roman" w:hAnsiTheme="majorHAnsi" w:cstheme="majorHAnsi"/>
          <w:b/>
          <w:bCs/>
          <w:szCs w:val="24"/>
          <w:lang w:val="en"/>
        </w:rPr>
        <w:t xml:space="preserve"> Describe the different types of legal arrangements that can take place to create a business combination.  </w:t>
      </w:r>
    </w:p>
    <w:p w14:paraId="5D46FDAE" w14:textId="2235CFDC" w:rsidR="00857269" w:rsidRPr="0002598A" w:rsidRDefault="0002598A" w:rsidP="0002598A">
      <w:pPr>
        <w:pStyle w:val="ListParagraph"/>
        <w:numPr>
          <w:ilvl w:val="0"/>
          <w:numId w:val="8"/>
        </w:numPr>
        <w:spacing w:line="240" w:lineRule="auto"/>
        <w:rPr>
          <w:rFonts w:asciiTheme="majorHAnsi" w:eastAsia="Times New Roman" w:hAnsiTheme="majorHAnsi" w:cstheme="majorHAnsi"/>
          <w:szCs w:val="24"/>
          <w:lang w:val="en"/>
        </w:rPr>
      </w:pPr>
      <w:r w:rsidRPr="0002598A">
        <w:rPr>
          <w:rFonts w:asciiTheme="majorHAnsi" w:eastAsia="Times New Roman" w:hAnsiTheme="majorHAnsi" w:cstheme="majorHAnsi"/>
          <w:szCs w:val="24"/>
          <w:lang w:val="en"/>
        </w:rPr>
        <w:t xml:space="preserve">One of the legal </w:t>
      </w:r>
      <w:r w:rsidR="00CC0EAC" w:rsidRPr="0002598A">
        <w:rPr>
          <w:rFonts w:asciiTheme="majorHAnsi" w:eastAsia="Times New Roman" w:hAnsiTheme="majorHAnsi" w:cstheme="majorHAnsi"/>
          <w:szCs w:val="24"/>
          <w:lang w:val="en"/>
        </w:rPr>
        <w:t>arrangements</w:t>
      </w:r>
      <w:r w:rsidRPr="0002598A">
        <w:rPr>
          <w:rFonts w:asciiTheme="majorHAnsi" w:eastAsia="Times New Roman" w:hAnsiTheme="majorHAnsi" w:cstheme="majorHAnsi"/>
          <w:szCs w:val="24"/>
          <w:lang w:val="en"/>
        </w:rPr>
        <w:t xml:space="preserve"> is a statutory merger.</w:t>
      </w:r>
      <w:r w:rsidR="00CC0EAC" w:rsidRPr="0002598A">
        <w:rPr>
          <w:rFonts w:asciiTheme="majorHAnsi" w:eastAsia="Times New Roman" w:hAnsiTheme="majorHAnsi" w:cstheme="majorHAnsi"/>
          <w:szCs w:val="24"/>
          <w:lang w:val="en"/>
        </w:rPr>
        <w:t xml:space="preserve"> </w:t>
      </w:r>
      <w:r w:rsidRPr="0002598A">
        <w:rPr>
          <w:rFonts w:asciiTheme="majorHAnsi" w:eastAsia="Times New Roman" w:hAnsiTheme="majorHAnsi" w:cstheme="majorHAnsi"/>
          <w:szCs w:val="24"/>
          <w:lang w:val="en"/>
        </w:rPr>
        <w:t xml:space="preserve">This is formed when two or more </w:t>
      </w:r>
      <w:r w:rsidR="00CC0EAC" w:rsidRPr="0002598A">
        <w:rPr>
          <w:rFonts w:asciiTheme="majorHAnsi" w:eastAsia="Times New Roman" w:hAnsiTheme="majorHAnsi" w:cstheme="majorHAnsi"/>
          <w:szCs w:val="24"/>
          <w:lang w:val="en"/>
        </w:rPr>
        <w:t>organizations</w:t>
      </w:r>
      <w:r w:rsidRPr="0002598A">
        <w:rPr>
          <w:rFonts w:asciiTheme="majorHAnsi" w:eastAsia="Times New Roman" w:hAnsiTheme="majorHAnsi" w:cstheme="majorHAnsi"/>
          <w:szCs w:val="24"/>
          <w:lang w:val="en"/>
        </w:rPr>
        <w:t xml:space="preserve"> come together to form a business combination and </w:t>
      </w:r>
      <w:r w:rsidRPr="0002598A">
        <w:rPr>
          <w:rFonts w:asciiTheme="majorHAnsi" w:eastAsia="Times New Roman" w:hAnsiTheme="majorHAnsi" w:cstheme="majorHAnsi"/>
          <w:szCs w:val="24"/>
          <w:lang w:val="en"/>
        </w:rPr>
        <w:t xml:space="preserve">out of the many </w:t>
      </w:r>
      <w:r w:rsidR="00CC0EAC" w:rsidRPr="0002598A">
        <w:rPr>
          <w:rFonts w:asciiTheme="majorHAnsi" w:eastAsia="Times New Roman" w:hAnsiTheme="majorHAnsi" w:cstheme="majorHAnsi"/>
          <w:szCs w:val="24"/>
          <w:lang w:val="en"/>
        </w:rPr>
        <w:t xml:space="preserve">as the only entity that remains in existence as an identifiable entity.Under this type of arrangement,  the resulting entity acquires all the assets of the other enterprises. </w:t>
      </w:r>
    </w:p>
    <w:p w14:paraId="001295A0" w14:textId="77777777" w:rsidR="00D21FAC" w:rsidRPr="0002598A" w:rsidRDefault="0002598A" w:rsidP="0002598A">
      <w:pPr>
        <w:pStyle w:val="ListParagraph"/>
        <w:numPr>
          <w:ilvl w:val="0"/>
          <w:numId w:val="8"/>
        </w:numPr>
        <w:spacing w:line="240" w:lineRule="auto"/>
        <w:rPr>
          <w:rFonts w:asciiTheme="majorHAnsi" w:eastAsia="Times New Roman" w:hAnsiTheme="majorHAnsi" w:cstheme="majorHAnsi"/>
          <w:szCs w:val="24"/>
          <w:lang w:val="en"/>
        </w:rPr>
      </w:pPr>
      <w:r w:rsidRPr="0002598A">
        <w:rPr>
          <w:rFonts w:asciiTheme="majorHAnsi" w:eastAsia="Times New Roman" w:hAnsiTheme="majorHAnsi" w:cstheme="majorHAnsi"/>
          <w:szCs w:val="24"/>
          <w:lang w:val="en"/>
        </w:rPr>
        <w:t xml:space="preserve">A statutory arrangement can also be formed when one </w:t>
      </w:r>
      <w:r w:rsidRPr="0002598A">
        <w:rPr>
          <w:rFonts w:asciiTheme="majorHAnsi" w:eastAsia="Times New Roman" w:hAnsiTheme="majorHAnsi" w:cstheme="majorHAnsi"/>
          <w:szCs w:val="24"/>
          <w:lang w:val="en"/>
        </w:rPr>
        <w:t>organization acquires another organization's major stock capital. However, this kind of arrangement results in a statutory merger if the acquired organization transfers a substantial amount of its assets and liabilities to the acquiring organization, and i</w:t>
      </w:r>
      <w:r w:rsidRPr="0002598A">
        <w:rPr>
          <w:rFonts w:asciiTheme="majorHAnsi" w:eastAsia="Times New Roman" w:hAnsiTheme="majorHAnsi" w:cstheme="majorHAnsi"/>
          <w:szCs w:val="24"/>
          <w:lang w:val="en"/>
        </w:rPr>
        <w:t>t dissolves itself.</w:t>
      </w:r>
    </w:p>
    <w:p w14:paraId="0573DCAE" w14:textId="2909E7CA" w:rsidR="00CC0EAC" w:rsidRPr="0002598A" w:rsidRDefault="0002598A" w:rsidP="0002598A">
      <w:pPr>
        <w:pStyle w:val="ListParagraph"/>
        <w:numPr>
          <w:ilvl w:val="0"/>
          <w:numId w:val="8"/>
        </w:numPr>
        <w:spacing w:line="240" w:lineRule="auto"/>
        <w:rPr>
          <w:rFonts w:asciiTheme="majorHAnsi" w:eastAsia="Times New Roman" w:hAnsiTheme="majorHAnsi" w:cstheme="majorHAnsi"/>
          <w:szCs w:val="24"/>
          <w:lang w:val="en"/>
        </w:rPr>
      </w:pPr>
      <w:r w:rsidRPr="0002598A">
        <w:rPr>
          <w:rFonts w:asciiTheme="majorHAnsi" w:eastAsia="Times New Roman" w:hAnsiTheme="majorHAnsi" w:cstheme="majorHAnsi"/>
          <w:szCs w:val="24"/>
          <w:lang w:val="en"/>
        </w:rPr>
        <w:t xml:space="preserve">Busines combination can also be created when an organization acquires its outstanding voting stock hence taking control of the other company. In this type of arrangement, the two organizations maintain their separate legal entity, even </w:t>
      </w:r>
      <w:r w:rsidRPr="0002598A">
        <w:rPr>
          <w:rFonts w:asciiTheme="majorHAnsi" w:eastAsia="Times New Roman" w:hAnsiTheme="majorHAnsi" w:cstheme="majorHAnsi"/>
          <w:szCs w:val="24"/>
          <w:lang w:val="en"/>
        </w:rPr>
        <w:t xml:space="preserve">though the existence of a single economic entity is indicated by the common ownership. </w:t>
      </w:r>
    </w:p>
    <w:p w14:paraId="73268EF6" w14:textId="68E1DF12" w:rsidR="00857269" w:rsidRPr="002B1BED" w:rsidRDefault="0002598A" w:rsidP="002B1BED">
      <w:pPr>
        <w:spacing w:line="240" w:lineRule="auto"/>
        <w:rPr>
          <w:rFonts w:asciiTheme="majorHAnsi" w:eastAsia="Times New Roman" w:hAnsiTheme="majorHAnsi" w:cstheme="majorHAnsi"/>
          <w:b/>
          <w:bCs/>
          <w:szCs w:val="24"/>
          <w:lang w:val="en"/>
        </w:rPr>
      </w:pPr>
      <w:r>
        <w:rPr>
          <w:rFonts w:asciiTheme="majorHAnsi" w:eastAsia="Times New Roman" w:hAnsiTheme="majorHAnsi" w:cstheme="majorHAnsi"/>
          <w:b/>
          <w:bCs/>
          <w:szCs w:val="24"/>
          <w:lang w:val="en"/>
        </w:rPr>
        <w:t>3</w:t>
      </w:r>
      <w:r>
        <w:rPr>
          <w:rFonts w:asciiTheme="majorHAnsi" w:eastAsia="Times New Roman" w:hAnsiTheme="majorHAnsi" w:cstheme="majorHAnsi"/>
          <w:b/>
          <w:bCs/>
          <w:szCs w:val="24"/>
          <w:lang w:val="en"/>
        </w:rPr>
        <w:t>.</w:t>
      </w:r>
      <w:r w:rsidRPr="002B1BED">
        <w:rPr>
          <w:rFonts w:asciiTheme="majorHAnsi" w:eastAsia="Times New Roman" w:hAnsiTheme="majorHAnsi" w:cstheme="majorHAnsi"/>
          <w:b/>
          <w:bCs/>
          <w:szCs w:val="24"/>
          <w:lang w:val="en"/>
        </w:rPr>
        <w:t xml:space="preserve"> What does the term consolidated financial statements mean?  </w:t>
      </w:r>
    </w:p>
    <w:p w14:paraId="7A9B7615" w14:textId="390DFE5D" w:rsidR="008E0B1D" w:rsidRPr="00D21FAC" w:rsidRDefault="0002598A" w:rsidP="00D21FAC">
      <w:pPr>
        <w:spacing w:line="240" w:lineRule="auto"/>
        <w:rPr>
          <w:rFonts w:asciiTheme="majorHAnsi" w:eastAsia="Times New Roman" w:hAnsiTheme="majorHAnsi" w:cstheme="majorHAnsi"/>
          <w:szCs w:val="24"/>
          <w:lang w:val="en"/>
        </w:rPr>
      </w:pPr>
      <w:r>
        <w:rPr>
          <w:rFonts w:asciiTheme="majorHAnsi" w:eastAsia="Times New Roman" w:hAnsiTheme="majorHAnsi" w:cstheme="majorHAnsi"/>
          <w:szCs w:val="24"/>
          <w:lang w:val="en"/>
        </w:rPr>
        <w:t>Consolidated financial statements represent accounting information that has been gathered from two or mo</w:t>
      </w:r>
      <w:r>
        <w:rPr>
          <w:rFonts w:asciiTheme="majorHAnsi" w:eastAsia="Times New Roman" w:hAnsiTheme="majorHAnsi" w:cstheme="majorHAnsi"/>
          <w:szCs w:val="24"/>
          <w:lang w:val="en"/>
        </w:rPr>
        <w:t xml:space="preserve">re separate companies. The data from the separate entities is therefore brought together (consolidated)  to describe a single economic entity created by the entity. </w:t>
      </w:r>
    </w:p>
    <w:p w14:paraId="29476E1A" w14:textId="1C12FD4A" w:rsidR="00857269" w:rsidRPr="002B1BED" w:rsidRDefault="0002598A" w:rsidP="002B1BED">
      <w:pPr>
        <w:spacing w:line="240" w:lineRule="auto"/>
        <w:rPr>
          <w:rFonts w:asciiTheme="majorHAnsi" w:eastAsia="Times New Roman" w:hAnsiTheme="majorHAnsi" w:cstheme="majorHAnsi"/>
          <w:b/>
          <w:bCs/>
          <w:szCs w:val="24"/>
          <w:lang w:val="en"/>
        </w:rPr>
      </w:pPr>
      <w:r>
        <w:rPr>
          <w:rFonts w:asciiTheme="majorHAnsi" w:eastAsia="Times New Roman" w:hAnsiTheme="majorHAnsi" w:cstheme="majorHAnsi"/>
          <w:b/>
          <w:bCs/>
          <w:szCs w:val="24"/>
          <w:lang w:val="en"/>
        </w:rPr>
        <w:t>4.</w:t>
      </w:r>
      <w:r w:rsidRPr="002B1BED">
        <w:rPr>
          <w:rFonts w:asciiTheme="majorHAnsi" w:eastAsia="Times New Roman" w:hAnsiTheme="majorHAnsi" w:cstheme="majorHAnsi"/>
          <w:b/>
          <w:bCs/>
          <w:szCs w:val="24"/>
          <w:lang w:val="en"/>
        </w:rPr>
        <w:t xml:space="preserve"> Within the consolidation process, what is the purpose of a worksheet? </w:t>
      </w:r>
    </w:p>
    <w:p w14:paraId="3457A34D" w14:textId="5D1A3F29" w:rsidR="00857269" w:rsidRDefault="0002598A" w:rsidP="00857269">
      <w:pPr>
        <w:spacing w:line="240" w:lineRule="auto"/>
        <w:rPr>
          <w:rFonts w:asciiTheme="majorHAnsi" w:eastAsia="Times New Roman" w:hAnsiTheme="majorHAnsi" w:cstheme="majorHAnsi"/>
          <w:szCs w:val="24"/>
          <w:lang w:val="en"/>
        </w:rPr>
      </w:pPr>
      <w:r>
        <w:rPr>
          <w:rFonts w:asciiTheme="majorHAnsi" w:eastAsia="Times New Roman" w:hAnsiTheme="majorHAnsi" w:cstheme="majorHAnsi"/>
          <w:szCs w:val="24"/>
          <w:lang w:val="en"/>
        </w:rPr>
        <w:t>The purpose of t</w:t>
      </w:r>
      <w:r>
        <w:rPr>
          <w:rFonts w:asciiTheme="majorHAnsi" w:eastAsia="Times New Roman" w:hAnsiTheme="majorHAnsi" w:cstheme="majorHAnsi"/>
          <w:szCs w:val="24"/>
          <w:lang w:val="en"/>
        </w:rPr>
        <w:t>he worksheet is to organize and structure the process of creating and producing consolidated financial statements that encompass all the companies within the combination. It allows for the consolidation to be carried out on a periodic and regular basis wit</w:t>
      </w:r>
      <w:r>
        <w:rPr>
          <w:rFonts w:asciiTheme="majorHAnsi" w:eastAsia="Times New Roman" w:hAnsiTheme="majorHAnsi" w:cstheme="majorHAnsi"/>
          <w:szCs w:val="24"/>
          <w:lang w:val="en"/>
        </w:rPr>
        <w:t xml:space="preserve">hout affecting the </w:t>
      </w:r>
      <w:r w:rsidR="002B1BED">
        <w:rPr>
          <w:rFonts w:asciiTheme="majorHAnsi" w:eastAsia="Times New Roman" w:hAnsiTheme="majorHAnsi" w:cstheme="majorHAnsi"/>
          <w:szCs w:val="24"/>
          <w:lang w:val="en"/>
        </w:rPr>
        <w:t>financial records the components in the combination.</w:t>
      </w:r>
    </w:p>
    <w:p w14:paraId="42C75018" w14:textId="77777777" w:rsidR="002B1BED" w:rsidRPr="0028203A" w:rsidRDefault="0002598A" w:rsidP="002B1BED">
      <w:pPr>
        <w:spacing w:line="240" w:lineRule="auto"/>
        <w:jc w:val="center"/>
        <w:rPr>
          <w:rFonts w:asciiTheme="majorHAnsi" w:eastAsia="Times New Roman" w:hAnsiTheme="majorHAnsi" w:cstheme="majorHAnsi"/>
          <w:b/>
          <w:bCs/>
          <w:szCs w:val="24"/>
          <w:u w:val="single"/>
          <w:lang w:val="en"/>
        </w:rPr>
      </w:pPr>
      <w:r w:rsidRPr="0028203A">
        <w:rPr>
          <w:rFonts w:asciiTheme="majorHAnsi" w:eastAsia="Times New Roman" w:hAnsiTheme="majorHAnsi" w:cstheme="majorHAnsi"/>
          <w:b/>
          <w:bCs/>
          <w:szCs w:val="24"/>
          <w:u w:val="single"/>
          <w:lang w:val="en"/>
        </w:rPr>
        <w:t>Problems</w:t>
      </w:r>
    </w:p>
    <w:p w14:paraId="52F5DE70" w14:textId="0F4E1D50" w:rsidR="002B1BED" w:rsidRPr="0028203A" w:rsidRDefault="002B1BED" w:rsidP="00857269">
      <w:pPr>
        <w:spacing w:line="240" w:lineRule="auto"/>
        <w:rPr>
          <w:rFonts w:asciiTheme="majorHAnsi" w:eastAsia="Times New Roman" w:hAnsiTheme="majorHAnsi" w:cstheme="majorHAnsi"/>
          <w:szCs w:val="24"/>
          <w:lang w:val="en"/>
        </w:rPr>
      </w:pPr>
    </w:p>
    <w:p w14:paraId="2333EC0B" w14:textId="77777777" w:rsidR="002B1BED" w:rsidRPr="0028203A" w:rsidRDefault="0002598A" w:rsidP="002B1BED">
      <w:pPr>
        <w:pStyle w:val="ListParagraph"/>
        <w:numPr>
          <w:ilvl w:val="0"/>
          <w:numId w:val="3"/>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Which of the following does not represent a primary motivation for business combinations? </w:t>
      </w:r>
    </w:p>
    <w:p w14:paraId="19F31A7F" w14:textId="77777777" w:rsidR="002B1BED" w:rsidRPr="0028203A" w:rsidRDefault="0002598A" w:rsidP="002B1BED">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Combinations are often a vehicle to accelerate growth and competitiveness. </w:t>
      </w:r>
    </w:p>
    <w:p w14:paraId="1E4C2BF7" w14:textId="77777777" w:rsidR="002B1BED" w:rsidRPr="0028203A" w:rsidRDefault="0002598A" w:rsidP="002B1BED">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Cost savings can be achieved through the elimination of duplicate facilities and staff.</w:t>
      </w:r>
    </w:p>
    <w:p w14:paraId="6B3F748D" w14:textId="77777777" w:rsidR="002B1BED" w:rsidRPr="0028203A" w:rsidRDefault="0002598A" w:rsidP="002B1BED">
      <w:pPr>
        <w:pStyle w:val="ListParagraph"/>
        <w:numPr>
          <w:ilvl w:val="0"/>
          <w:numId w:val="4"/>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Synergies may be available through the quick entry for new and existing products into markets.</w:t>
      </w:r>
    </w:p>
    <w:p w14:paraId="7C672C8C" w14:textId="77777777" w:rsidR="002B1BED" w:rsidRPr="002B1BED" w:rsidRDefault="0002598A" w:rsidP="002B1BED">
      <w:pPr>
        <w:pStyle w:val="ListParagraph"/>
        <w:numPr>
          <w:ilvl w:val="0"/>
          <w:numId w:val="4"/>
        </w:numPr>
        <w:spacing w:after="0" w:line="240" w:lineRule="auto"/>
        <w:rPr>
          <w:rFonts w:asciiTheme="majorHAnsi" w:eastAsia="Times New Roman" w:hAnsiTheme="majorHAnsi" w:cstheme="majorHAnsi"/>
          <w:b/>
          <w:bCs/>
          <w:sz w:val="24"/>
          <w:szCs w:val="24"/>
          <w:lang w:val="en"/>
        </w:rPr>
      </w:pPr>
      <w:r w:rsidRPr="002B1BED">
        <w:rPr>
          <w:rFonts w:asciiTheme="majorHAnsi" w:eastAsia="Times New Roman" w:hAnsiTheme="majorHAnsi" w:cstheme="majorHAnsi"/>
          <w:b/>
          <w:bCs/>
          <w:sz w:val="24"/>
          <w:szCs w:val="24"/>
          <w:lang w:val="en"/>
        </w:rPr>
        <w:t>Larger firms are less likely to fail.</w:t>
      </w:r>
    </w:p>
    <w:p w14:paraId="1D24E348" w14:textId="77777777" w:rsidR="002B1BED" w:rsidRPr="0028203A" w:rsidRDefault="0002598A" w:rsidP="002B1BED">
      <w:pPr>
        <w:pStyle w:val="ListParagraph"/>
        <w:numPr>
          <w:ilvl w:val="0"/>
          <w:numId w:val="3"/>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Which of the following is the best theoretical justification for consolidated financial statements?</w:t>
      </w:r>
    </w:p>
    <w:p w14:paraId="2B3014B4" w14:textId="77777777" w:rsidR="002B1BED" w:rsidRPr="0028203A" w:rsidRDefault="0002598A" w:rsidP="002B1BED">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In the form, the compan</w:t>
      </w:r>
      <w:r w:rsidRPr="0028203A">
        <w:rPr>
          <w:rFonts w:asciiTheme="majorHAnsi" w:eastAsia="Times New Roman" w:hAnsiTheme="majorHAnsi" w:cstheme="majorHAnsi"/>
          <w:sz w:val="24"/>
          <w:szCs w:val="24"/>
          <w:lang w:val="en"/>
        </w:rPr>
        <w:t>ies are one entity; in substance, they are separate.</w:t>
      </w:r>
    </w:p>
    <w:p w14:paraId="6E97052B" w14:textId="77777777" w:rsidR="002B1BED" w:rsidRPr="002B1BED" w:rsidRDefault="0002598A" w:rsidP="002B1BED">
      <w:pPr>
        <w:pStyle w:val="ListParagraph"/>
        <w:numPr>
          <w:ilvl w:val="0"/>
          <w:numId w:val="5"/>
        </w:numPr>
        <w:spacing w:after="0" w:line="240" w:lineRule="auto"/>
        <w:rPr>
          <w:rFonts w:asciiTheme="majorHAnsi" w:eastAsia="Times New Roman" w:hAnsiTheme="majorHAnsi" w:cstheme="majorHAnsi"/>
          <w:b/>
          <w:bCs/>
          <w:sz w:val="24"/>
          <w:szCs w:val="24"/>
          <w:lang w:val="en"/>
        </w:rPr>
      </w:pPr>
      <w:r w:rsidRPr="002B1BED">
        <w:rPr>
          <w:rFonts w:asciiTheme="majorHAnsi" w:eastAsia="Times New Roman" w:hAnsiTheme="majorHAnsi" w:cstheme="majorHAnsi"/>
          <w:b/>
          <w:bCs/>
          <w:sz w:val="24"/>
          <w:szCs w:val="24"/>
          <w:lang w:val="en"/>
        </w:rPr>
        <w:t>In the form, the companies are separate; in substance, they are one entity.</w:t>
      </w:r>
    </w:p>
    <w:p w14:paraId="32AE4346" w14:textId="77777777" w:rsidR="002B1BED" w:rsidRPr="0028203A" w:rsidRDefault="0002598A" w:rsidP="002B1BED">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In form and substance, the companies are one entity.</w:t>
      </w:r>
    </w:p>
    <w:p w14:paraId="6257A99F" w14:textId="77777777" w:rsidR="002B1BED" w:rsidRPr="0028203A" w:rsidRDefault="0002598A" w:rsidP="002B1BED">
      <w:pPr>
        <w:pStyle w:val="ListParagraph"/>
        <w:numPr>
          <w:ilvl w:val="0"/>
          <w:numId w:val="5"/>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lastRenderedPageBreak/>
        <w:t>In form and substance, the companies are separate. (AICPA)</w:t>
      </w:r>
    </w:p>
    <w:p w14:paraId="581326C1" w14:textId="77777777" w:rsidR="002B1BED" w:rsidRPr="0028203A" w:rsidRDefault="0002598A" w:rsidP="002B1BED">
      <w:pPr>
        <w:pStyle w:val="ListParagraph"/>
        <w:numPr>
          <w:ilvl w:val="0"/>
          <w:numId w:val="3"/>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What is a statu</w:t>
      </w:r>
      <w:r w:rsidRPr="0028203A">
        <w:rPr>
          <w:rFonts w:asciiTheme="majorHAnsi" w:eastAsia="Times New Roman" w:hAnsiTheme="majorHAnsi" w:cstheme="majorHAnsi"/>
          <w:sz w:val="24"/>
          <w:szCs w:val="24"/>
          <w:lang w:val="en"/>
        </w:rPr>
        <w:t xml:space="preserve">tory merger? </w:t>
      </w:r>
    </w:p>
    <w:p w14:paraId="71C2ACD3" w14:textId="77777777" w:rsidR="002B1BED" w:rsidRPr="0028203A" w:rsidRDefault="0002598A" w:rsidP="002B1BED">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 merger approved by the Securities and Exchange Commission. </w:t>
      </w:r>
    </w:p>
    <w:p w14:paraId="546D1E60" w14:textId="77777777" w:rsidR="002B1BED" w:rsidRPr="0028203A" w:rsidRDefault="0002598A" w:rsidP="002B1BED">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An acquisition involving the purchase of both stock and assets. </w:t>
      </w:r>
    </w:p>
    <w:p w14:paraId="79332F4C" w14:textId="77777777" w:rsidR="002B1BED" w:rsidRPr="0028203A" w:rsidRDefault="0002598A" w:rsidP="002B1BED">
      <w:pPr>
        <w:pStyle w:val="ListParagraph"/>
        <w:numPr>
          <w:ilvl w:val="0"/>
          <w:numId w:val="6"/>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A takeover completed within one year of the initial tender offer. </w:t>
      </w:r>
    </w:p>
    <w:p w14:paraId="3BAA826D" w14:textId="77777777" w:rsidR="002B1BED" w:rsidRPr="002B1BED" w:rsidRDefault="0002598A" w:rsidP="002B1BED">
      <w:pPr>
        <w:pStyle w:val="ListParagraph"/>
        <w:numPr>
          <w:ilvl w:val="0"/>
          <w:numId w:val="6"/>
        </w:numPr>
        <w:spacing w:after="0" w:line="240" w:lineRule="auto"/>
        <w:rPr>
          <w:rFonts w:asciiTheme="majorHAnsi" w:eastAsia="Times New Roman" w:hAnsiTheme="majorHAnsi" w:cstheme="majorHAnsi"/>
          <w:b/>
          <w:bCs/>
          <w:sz w:val="24"/>
          <w:szCs w:val="24"/>
          <w:lang w:val="en"/>
        </w:rPr>
      </w:pPr>
      <w:r w:rsidRPr="002B1BED">
        <w:rPr>
          <w:rFonts w:asciiTheme="majorHAnsi" w:eastAsia="Times New Roman" w:hAnsiTheme="majorHAnsi" w:cstheme="majorHAnsi"/>
          <w:b/>
          <w:bCs/>
          <w:sz w:val="24"/>
          <w:szCs w:val="24"/>
          <w:lang w:val="en"/>
        </w:rPr>
        <w:t>A business combination in which only one company</w:t>
      </w:r>
      <w:r w:rsidRPr="002B1BED">
        <w:rPr>
          <w:rFonts w:asciiTheme="majorHAnsi" w:eastAsia="Times New Roman" w:hAnsiTheme="majorHAnsi" w:cstheme="majorHAnsi"/>
          <w:b/>
          <w:bCs/>
          <w:sz w:val="24"/>
          <w:szCs w:val="24"/>
          <w:lang w:val="en"/>
        </w:rPr>
        <w:t xml:space="preserve"> continues to exist as a legal entity.</w:t>
      </w:r>
    </w:p>
    <w:p w14:paraId="175A6757" w14:textId="77777777" w:rsidR="002B1BED" w:rsidRPr="0028203A" w:rsidRDefault="0002598A" w:rsidP="002B1BED">
      <w:pPr>
        <w:pStyle w:val="ListParagraph"/>
        <w:numPr>
          <w:ilvl w:val="0"/>
          <w:numId w:val="3"/>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FASB ASC 805, “Business Combinations,” provides principles for allocating the fair value of an acquired business. When the collective fair values of the separately identified assets acquired and liabilities assumed ex</w:t>
      </w:r>
      <w:r w:rsidRPr="0028203A">
        <w:rPr>
          <w:rFonts w:asciiTheme="majorHAnsi" w:eastAsia="Times New Roman" w:hAnsiTheme="majorHAnsi" w:cstheme="majorHAnsi"/>
          <w:sz w:val="24"/>
          <w:szCs w:val="24"/>
          <w:lang w:val="en"/>
        </w:rPr>
        <w:t xml:space="preserve">ceed the fair value of the consideration transferred, the difference should be: </w:t>
      </w:r>
    </w:p>
    <w:p w14:paraId="023B42FC" w14:textId="77777777" w:rsidR="002B1BED" w:rsidRPr="002B1BED" w:rsidRDefault="0002598A" w:rsidP="002B1BED">
      <w:pPr>
        <w:pStyle w:val="ListParagraph"/>
        <w:numPr>
          <w:ilvl w:val="0"/>
          <w:numId w:val="7"/>
        </w:numPr>
        <w:spacing w:after="0" w:line="240" w:lineRule="auto"/>
        <w:rPr>
          <w:rFonts w:asciiTheme="majorHAnsi" w:eastAsia="Times New Roman" w:hAnsiTheme="majorHAnsi" w:cstheme="majorHAnsi"/>
          <w:b/>
          <w:bCs/>
          <w:sz w:val="24"/>
          <w:szCs w:val="24"/>
          <w:lang w:val="en"/>
        </w:rPr>
      </w:pPr>
      <w:r w:rsidRPr="002B1BED">
        <w:rPr>
          <w:rFonts w:asciiTheme="majorHAnsi" w:eastAsia="Times New Roman" w:hAnsiTheme="majorHAnsi" w:cstheme="majorHAnsi"/>
          <w:b/>
          <w:bCs/>
          <w:sz w:val="24"/>
          <w:szCs w:val="24"/>
          <w:lang w:val="en"/>
        </w:rPr>
        <w:t xml:space="preserve">Recognized as an ordinary gain from a bargain purchase. </w:t>
      </w:r>
    </w:p>
    <w:p w14:paraId="368570E0" w14:textId="77777777" w:rsidR="002B1BED" w:rsidRPr="0028203A" w:rsidRDefault="0002598A" w:rsidP="002B1BED">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 xml:space="preserve">Treated as negative goodwill to be amortized over the period benefited, not to exceed 40 years. </w:t>
      </w:r>
    </w:p>
    <w:p w14:paraId="3848051D" w14:textId="77777777" w:rsidR="002B1BED" w:rsidRPr="0028203A" w:rsidRDefault="0002598A" w:rsidP="002B1BED">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Treated as goodwill a</w:t>
      </w:r>
      <w:r w:rsidRPr="0028203A">
        <w:rPr>
          <w:rFonts w:asciiTheme="majorHAnsi" w:eastAsia="Times New Roman" w:hAnsiTheme="majorHAnsi" w:cstheme="majorHAnsi"/>
          <w:sz w:val="24"/>
          <w:szCs w:val="24"/>
          <w:lang w:val="en"/>
        </w:rPr>
        <w:t xml:space="preserve">nd tested for impairment on an annual basis. </w:t>
      </w:r>
    </w:p>
    <w:p w14:paraId="3DF8FBCF" w14:textId="77777777" w:rsidR="002B1BED" w:rsidRPr="0028203A" w:rsidRDefault="0002598A" w:rsidP="002B1BED">
      <w:pPr>
        <w:pStyle w:val="ListParagraph"/>
        <w:numPr>
          <w:ilvl w:val="0"/>
          <w:numId w:val="7"/>
        </w:numPr>
        <w:spacing w:after="0" w:line="240" w:lineRule="auto"/>
        <w:rPr>
          <w:rFonts w:asciiTheme="majorHAnsi" w:eastAsia="Times New Roman" w:hAnsiTheme="majorHAnsi" w:cstheme="majorHAnsi"/>
          <w:sz w:val="24"/>
          <w:szCs w:val="24"/>
          <w:lang w:val="en"/>
        </w:rPr>
      </w:pPr>
      <w:r w:rsidRPr="0028203A">
        <w:rPr>
          <w:rFonts w:asciiTheme="majorHAnsi" w:eastAsia="Times New Roman" w:hAnsiTheme="majorHAnsi" w:cstheme="majorHAnsi"/>
          <w:sz w:val="24"/>
          <w:szCs w:val="24"/>
          <w:lang w:val="en"/>
        </w:rPr>
        <w:t>Applied pro-rata to reduce, but not below zero, the amounts initially assigned to specific non-current assets of the acquired firm.</w:t>
      </w:r>
    </w:p>
    <w:p w14:paraId="39D4BB51" w14:textId="77777777" w:rsidR="0002598A" w:rsidRDefault="0002598A" w:rsidP="00685A53">
      <w:pPr>
        <w:jc w:val="center"/>
        <w:rPr>
          <w:rFonts w:asciiTheme="majorHAnsi" w:hAnsiTheme="majorHAnsi" w:cstheme="majorHAnsi"/>
          <w:b/>
          <w:bCs/>
          <w:szCs w:val="24"/>
          <w:u w:val="single"/>
        </w:rPr>
      </w:pPr>
    </w:p>
    <w:p w14:paraId="6435CA66" w14:textId="1877751E" w:rsidR="00685A53" w:rsidRPr="00685A53" w:rsidRDefault="0002598A" w:rsidP="00685A53">
      <w:pPr>
        <w:jc w:val="center"/>
        <w:rPr>
          <w:rFonts w:asciiTheme="majorHAnsi" w:hAnsiTheme="majorHAnsi" w:cstheme="majorHAnsi"/>
          <w:b/>
          <w:bCs/>
          <w:szCs w:val="24"/>
          <w:u w:val="single"/>
        </w:rPr>
      </w:pPr>
      <w:r w:rsidRPr="00685A53">
        <w:rPr>
          <w:rFonts w:asciiTheme="majorHAnsi" w:hAnsiTheme="majorHAnsi" w:cstheme="majorHAnsi"/>
          <w:b/>
          <w:bCs/>
          <w:szCs w:val="24"/>
          <w:u w:val="single"/>
        </w:rPr>
        <w:t>Journal Entries</w:t>
      </w:r>
    </w:p>
    <w:p w14:paraId="768FA3B2" w14:textId="3EA57D83" w:rsidR="00685A53" w:rsidRPr="0028203A" w:rsidRDefault="0002598A" w:rsidP="00685A53">
      <w:pPr>
        <w:pStyle w:val="NormalWeb"/>
        <w:rPr>
          <w:rFonts w:asciiTheme="majorHAnsi" w:hAnsiTheme="majorHAnsi" w:cstheme="majorHAnsi"/>
          <w:color w:val="201F1E"/>
        </w:rPr>
      </w:pPr>
      <w:r w:rsidRPr="0028203A">
        <w:rPr>
          <w:rFonts w:asciiTheme="majorHAnsi" w:hAnsiTheme="majorHAnsi" w:cstheme="majorHAnsi"/>
          <w:color w:val="201F1E"/>
        </w:rPr>
        <w:t xml:space="preserve">Provide journal entries for Ocean Co. the following </w:t>
      </w:r>
      <w:r w:rsidRPr="0028203A">
        <w:rPr>
          <w:rFonts w:asciiTheme="majorHAnsi" w:hAnsiTheme="majorHAnsi" w:cstheme="majorHAnsi"/>
          <w:color w:val="201F1E"/>
        </w:rPr>
        <w:t>transactions:</w:t>
      </w:r>
    </w:p>
    <w:p w14:paraId="7881B303" w14:textId="1B8B29FB" w:rsidR="00685A53" w:rsidRDefault="0002598A" w:rsidP="00685A53">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1-1-20 Ocean buys 2% of River Co. common stock paying $75,000, and 25% of River Co. preferred stock paying $30,000.</w:t>
      </w:r>
    </w:p>
    <w:tbl>
      <w:tblPr>
        <w:tblStyle w:val="TableGrid"/>
        <w:tblW w:w="0" w:type="auto"/>
        <w:tblLook w:val="04A0" w:firstRow="1" w:lastRow="0" w:firstColumn="1" w:lastColumn="0" w:noHBand="0" w:noVBand="1"/>
      </w:tblPr>
      <w:tblGrid>
        <w:gridCol w:w="1525"/>
        <w:gridCol w:w="3960"/>
        <w:gridCol w:w="1980"/>
        <w:gridCol w:w="1885"/>
      </w:tblGrid>
      <w:tr w:rsidR="00D112D8" w14:paraId="6AD5BCCE" w14:textId="77777777" w:rsidTr="00685A53">
        <w:tc>
          <w:tcPr>
            <w:tcW w:w="1525" w:type="dxa"/>
          </w:tcPr>
          <w:p w14:paraId="689BD8B7" w14:textId="5E4D1D5B"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3960" w:type="dxa"/>
          </w:tcPr>
          <w:p w14:paraId="3DD5D985" w14:textId="605559E1"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50069284" w14:textId="2A0A3375"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885" w:type="dxa"/>
          </w:tcPr>
          <w:p w14:paraId="272FAB92" w14:textId="6D0202D4"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54E11F03" w14:textId="77777777" w:rsidTr="00685A53">
        <w:tc>
          <w:tcPr>
            <w:tcW w:w="1525" w:type="dxa"/>
          </w:tcPr>
          <w:p w14:paraId="24B91097" w14:textId="39205AE3"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1-1-20</w:t>
            </w:r>
          </w:p>
        </w:tc>
        <w:tc>
          <w:tcPr>
            <w:tcW w:w="3960" w:type="dxa"/>
          </w:tcPr>
          <w:p w14:paraId="6ABE3E1B" w14:textId="7B891FAD"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Common stock </w:t>
            </w:r>
            <w:r w:rsidR="006F3318">
              <w:rPr>
                <w:rFonts w:asciiTheme="majorHAnsi" w:hAnsiTheme="majorHAnsi" w:cstheme="majorHAnsi"/>
                <w:color w:val="201F1E"/>
              </w:rPr>
              <w:t>account</w:t>
            </w:r>
          </w:p>
        </w:tc>
        <w:tc>
          <w:tcPr>
            <w:tcW w:w="1980" w:type="dxa"/>
          </w:tcPr>
          <w:p w14:paraId="1F617611" w14:textId="7E0EC151"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75000</w:t>
            </w:r>
          </w:p>
        </w:tc>
        <w:tc>
          <w:tcPr>
            <w:tcW w:w="1885" w:type="dxa"/>
          </w:tcPr>
          <w:p w14:paraId="78FB1EFF" w14:textId="77777777" w:rsidR="00685A53" w:rsidRDefault="00685A53" w:rsidP="00685A53">
            <w:pPr>
              <w:pStyle w:val="NormalWeb"/>
              <w:spacing w:before="0" w:beforeAutospacing="0" w:after="0" w:afterAutospacing="0"/>
              <w:rPr>
                <w:rFonts w:asciiTheme="majorHAnsi" w:hAnsiTheme="majorHAnsi" w:cstheme="majorHAnsi"/>
                <w:color w:val="201F1E"/>
              </w:rPr>
            </w:pPr>
          </w:p>
        </w:tc>
      </w:tr>
      <w:tr w:rsidR="00D112D8" w14:paraId="27A92056" w14:textId="77777777" w:rsidTr="00685A53">
        <w:tc>
          <w:tcPr>
            <w:tcW w:w="1525" w:type="dxa"/>
          </w:tcPr>
          <w:p w14:paraId="5B6F9207" w14:textId="77777777" w:rsidR="00685A53" w:rsidRDefault="00685A53" w:rsidP="00685A53">
            <w:pPr>
              <w:pStyle w:val="NormalWeb"/>
              <w:spacing w:before="0" w:beforeAutospacing="0" w:after="0" w:afterAutospacing="0"/>
              <w:rPr>
                <w:rFonts w:asciiTheme="majorHAnsi" w:hAnsiTheme="majorHAnsi" w:cstheme="majorHAnsi"/>
                <w:color w:val="201F1E"/>
              </w:rPr>
            </w:pPr>
          </w:p>
        </w:tc>
        <w:tc>
          <w:tcPr>
            <w:tcW w:w="3960" w:type="dxa"/>
          </w:tcPr>
          <w:p w14:paraId="6241EB83" w14:textId="37C9288C"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Preferred stock</w:t>
            </w:r>
            <w:r w:rsidR="006F3318">
              <w:rPr>
                <w:rFonts w:asciiTheme="majorHAnsi" w:hAnsiTheme="majorHAnsi" w:cstheme="majorHAnsi"/>
                <w:color w:val="201F1E"/>
              </w:rPr>
              <w:t xml:space="preserve"> account</w:t>
            </w:r>
          </w:p>
        </w:tc>
        <w:tc>
          <w:tcPr>
            <w:tcW w:w="1980" w:type="dxa"/>
          </w:tcPr>
          <w:p w14:paraId="15F4D9AF" w14:textId="6AAF079A" w:rsidR="00685A53"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30000</w:t>
            </w:r>
          </w:p>
        </w:tc>
        <w:tc>
          <w:tcPr>
            <w:tcW w:w="1885" w:type="dxa"/>
          </w:tcPr>
          <w:p w14:paraId="6D4FC0EC" w14:textId="77777777" w:rsidR="00685A53" w:rsidRDefault="00685A53" w:rsidP="00685A53">
            <w:pPr>
              <w:pStyle w:val="NormalWeb"/>
              <w:spacing w:before="0" w:beforeAutospacing="0" w:after="0" w:afterAutospacing="0"/>
              <w:rPr>
                <w:rFonts w:asciiTheme="majorHAnsi" w:hAnsiTheme="majorHAnsi" w:cstheme="majorHAnsi"/>
                <w:color w:val="201F1E"/>
              </w:rPr>
            </w:pPr>
          </w:p>
        </w:tc>
      </w:tr>
      <w:tr w:rsidR="00D112D8" w14:paraId="16F7B3B8" w14:textId="77777777" w:rsidTr="00685A53">
        <w:tc>
          <w:tcPr>
            <w:tcW w:w="1525" w:type="dxa"/>
          </w:tcPr>
          <w:p w14:paraId="1EA30FEE" w14:textId="77777777" w:rsidR="005C2EE0" w:rsidRDefault="005C2EE0" w:rsidP="00685A53">
            <w:pPr>
              <w:pStyle w:val="NormalWeb"/>
              <w:spacing w:before="0" w:beforeAutospacing="0" w:after="0" w:afterAutospacing="0"/>
              <w:rPr>
                <w:rFonts w:asciiTheme="majorHAnsi" w:hAnsiTheme="majorHAnsi" w:cstheme="majorHAnsi"/>
                <w:color w:val="201F1E"/>
              </w:rPr>
            </w:pPr>
          </w:p>
        </w:tc>
        <w:tc>
          <w:tcPr>
            <w:tcW w:w="3960" w:type="dxa"/>
          </w:tcPr>
          <w:p w14:paraId="70A6DE1F" w14:textId="5F42315F" w:rsidR="005C2EE0"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cash</w:t>
            </w:r>
          </w:p>
        </w:tc>
        <w:tc>
          <w:tcPr>
            <w:tcW w:w="1980" w:type="dxa"/>
          </w:tcPr>
          <w:p w14:paraId="4CA44219" w14:textId="77777777" w:rsidR="005C2EE0" w:rsidRDefault="005C2EE0" w:rsidP="00685A53">
            <w:pPr>
              <w:pStyle w:val="NormalWeb"/>
              <w:spacing w:before="0" w:beforeAutospacing="0" w:after="0" w:afterAutospacing="0"/>
              <w:rPr>
                <w:rFonts w:asciiTheme="majorHAnsi" w:hAnsiTheme="majorHAnsi" w:cstheme="majorHAnsi"/>
                <w:color w:val="201F1E"/>
              </w:rPr>
            </w:pPr>
          </w:p>
        </w:tc>
        <w:tc>
          <w:tcPr>
            <w:tcW w:w="1885" w:type="dxa"/>
          </w:tcPr>
          <w:p w14:paraId="54889638" w14:textId="6AF5F460" w:rsidR="005C2EE0" w:rsidRDefault="0002598A" w:rsidP="00685A53">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105000</w:t>
            </w:r>
          </w:p>
        </w:tc>
      </w:tr>
    </w:tbl>
    <w:p w14:paraId="44D6470B" w14:textId="77777777" w:rsidR="00685A53" w:rsidRPr="0028203A" w:rsidRDefault="00685A53" w:rsidP="00685A53">
      <w:pPr>
        <w:pStyle w:val="NormalWeb"/>
        <w:spacing w:before="0" w:beforeAutospacing="0" w:after="0" w:afterAutospacing="0"/>
        <w:rPr>
          <w:rFonts w:asciiTheme="majorHAnsi" w:hAnsiTheme="majorHAnsi" w:cstheme="majorHAnsi"/>
          <w:color w:val="201F1E"/>
        </w:rPr>
      </w:pPr>
    </w:p>
    <w:p w14:paraId="5F7B31EC" w14:textId="6A0633C5" w:rsidR="00685A53" w:rsidRDefault="0002598A" w:rsidP="00685A53">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6-30-20 River Co. reports earnings of $100,000 and declares a dividend totaling $50,000.</w:t>
      </w:r>
    </w:p>
    <w:tbl>
      <w:tblPr>
        <w:tblStyle w:val="TableGrid"/>
        <w:tblW w:w="0" w:type="auto"/>
        <w:tblLook w:val="04A0" w:firstRow="1" w:lastRow="0" w:firstColumn="1" w:lastColumn="0" w:noHBand="0" w:noVBand="1"/>
      </w:tblPr>
      <w:tblGrid>
        <w:gridCol w:w="1615"/>
        <w:gridCol w:w="3870"/>
        <w:gridCol w:w="1980"/>
        <w:gridCol w:w="1885"/>
      </w:tblGrid>
      <w:tr w:rsidR="00D112D8" w14:paraId="3F18D92B" w14:textId="77777777" w:rsidTr="00685A53">
        <w:tc>
          <w:tcPr>
            <w:tcW w:w="1615" w:type="dxa"/>
          </w:tcPr>
          <w:p w14:paraId="2905118F"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3870" w:type="dxa"/>
          </w:tcPr>
          <w:p w14:paraId="427F6521" w14:textId="251D905D"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account</w:t>
            </w:r>
          </w:p>
        </w:tc>
        <w:tc>
          <w:tcPr>
            <w:tcW w:w="1980" w:type="dxa"/>
          </w:tcPr>
          <w:p w14:paraId="2C577616"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885" w:type="dxa"/>
          </w:tcPr>
          <w:p w14:paraId="3259EE54"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77200BB7" w14:textId="77777777" w:rsidTr="00685A53">
        <w:tc>
          <w:tcPr>
            <w:tcW w:w="1615" w:type="dxa"/>
          </w:tcPr>
          <w:p w14:paraId="3750197E" w14:textId="54510034"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6-30-20</w:t>
            </w:r>
          </w:p>
        </w:tc>
        <w:tc>
          <w:tcPr>
            <w:tcW w:w="3870" w:type="dxa"/>
          </w:tcPr>
          <w:p w14:paraId="16EECC92" w14:textId="4859646D"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Dividend receivable</w:t>
            </w:r>
          </w:p>
        </w:tc>
        <w:tc>
          <w:tcPr>
            <w:tcW w:w="1980" w:type="dxa"/>
          </w:tcPr>
          <w:p w14:paraId="622AAFB0" w14:textId="0AA33FF0"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50000</w:t>
            </w:r>
          </w:p>
        </w:tc>
        <w:tc>
          <w:tcPr>
            <w:tcW w:w="1885" w:type="dxa"/>
          </w:tcPr>
          <w:p w14:paraId="1AA2EB0D" w14:textId="77777777" w:rsidR="00685A53" w:rsidRDefault="00685A53" w:rsidP="007355DD">
            <w:pPr>
              <w:pStyle w:val="NormalWeb"/>
              <w:spacing w:before="0" w:beforeAutospacing="0" w:after="0" w:afterAutospacing="0"/>
              <w:rPr>
                <w:rFonts w:asciiTheme="majorHAnsi" w:hAnsiTheme="majorHAnsi" w:cstheme="majorHAnsi"/>
                <w:color w:val="201F1E"/>
              </w:rPr>
            </w:pPr>
          </w:p>
        </w:tc>
      </w:tr>
      <w:tr w:rsidR="00D112D8" w14:paraId="4389465C" w14:textId="77777777" w:rsidTr="00685A53">
        <w:tc>
          <w:tcPr>
            <w:tcW w:w="1615" w:type="dxa"/>
          </w:tcPr>
          <w:p w14:paraId="236E5BF3"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3870" w:type="dxa"/>
          </w:tcPr>
          <w:p w14:paraId="5BCA457A" w14:textId="2179C7AA"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Dividend income</w:t>
            </w:r>
          </w:p>
        </w:tc>
        <w:tc>
          <w:tcPr>
            <w:tcW w:w="1980" w:type="dxa"/>
          </w:tcPr>
          <w:p w14:paraId="79D84F1B"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1885" w:type="dxa"/>
          </w:tcPr>
          <w:p w14:paraId="7A5FAD53" w14:textId="063DB5BB"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50000</w:t>
            </w:r>
          </w:p>
        </w:tc>
      </w:tr>
    </w:tbl>
    <w:p w14:paraId="0AFD0DBF" w14:textId="77777777" w:rsidR="00685A53" w:rsidRPr="0028203A" w:rsidRDefault="00685A53" w:rsidP="00685A53">
      <w:pPr>
        <w:pStyle w:val="NormalWeb"/>
        <w:spacing w:before="0" w:beforeAutospacing="0" w:after="0" w:afterAutospacing="0"/>
        <w:rPr>
          <w:rFonts w:asciiTheme="majorHAnsi" w:hAnsiTheme="majorHAnsi" w:cstheme="majorHAnsi"/>
          <w:color w:val="201F1E"/>
        </w:rPr>
      </w:pPr>
    </w:p>
    <w:p w14:paraId="6CDACF5E" w14:textId="045CFEFB" w:rsidR="00685A53" w:rsidRDefault="0002598A" w:rsidP="00685A53">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7-15-20 River pays dividends totaling $50,000.</w:t>
      </w:r>
    </w:p>
    <w:tbl>
      <w:tblPr>
        <w:tblStyle w:val="TableGrid"/>
        <w:tblW w:w="0" w:type="auto"/>
        <w:tblLook w:val="04A0" w:firstRow="1" w:lastRow="0" w:firstColumn="1" w:lastColumn="0" w:noHBand="0" w:noVBand="1"/>
      </w:tblPr>
      <w:tblGrid>
        <w:gridCol w:w="1615"/>
        <w:gridCol w:w="3960"/>
        <w:gridCol w:w="1980"/>
        <w:gridCol w:w="1795"/>
      </w:tblGrid>
      <w:tr w:rsidR="00D112D8" w14:paraId="4644524E" w14:textId="77777777" w:rsidTr="00685A53">
        <w:tc>
          <w:tcPr>
            <w:tcW w:w="1615" w:type="dxa"/>
          </w:tcPr>
          <w:p w14:paraId="0D85A429"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3960" w:type="dxa"/>
          </w:tcPr>
          <w:p w14:paraId="5AF77882"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62D6F53B"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6B8AC8C0"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0D282E29" w14:textId="77777777" w:rsidTr="00685A53">
        <w:tc>
          <w:tcPr>
            <w:tcW w:w="1615" w:type="dxa"/>
          </w:tcPr>
          <w:p w14:paraId="46164B2F" w14:textId="59ACC4EF"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7-15-20</w:t>
            </w:r>
          </w:p>
        </w:tc>
        <w:tc>
          <w:tcPr>
            <w:tcW w:w="3960" w:type="dxa"/>
          </w:tcPr>
          <w:p w14:paraId="604F2389" w14:textId="53B12C13"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w:t>
            </w:r>
            <w:r w:rsidR="005C2EE0">
              <w:rPr>
                <w:rFonts w:asciiTheme="majorHAnsi" w:hAnsiTheme="majorHAnsi" w:cstheme="majorHAnsi"/>
                <w:color w:val="201F1E"/>
              </w:rPr>
              <w:t>ash</w:t>
            </w:r>
            <w:r>
              <w:rPr>
                <w:rFonts w:asciiTheme="majorHAnsi" w:hAnsiTheme="majorHAnsi" w:cstheme="majorHAnsi"/>
                <w:color w:val="201F1E"/>
              </w:rPr>
              <w:t xml:space="preserve"> account</w:t>
            </w:r>
          </w:p>
        </w:tc>
        <w:tc>
          <w:tcPr>
            <w:tcW w:w="1980" w:type="dxa"/>
          </w:tcPr>
          <w:p w14:paraId="57133A53" w14:textId="0EE7849B"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12500</w:t>
            </w:r>
          </w:p>
        </w:tc>
        <w:tc>
          <w:tcPr>
            <w:tcW w:w="1795" w:type="dxa"/>
          </w:tcPr>
          <w:p w14:paraId="17B17026" w14:textId="77777777" w:rsidR="00685A53" w:rsidRDefault="00685A53" w:rsidP="007355DD">
            <w:pPr>
              <w:pStyle w:val="NormalWeb"/>
              <w:spacing w:before="0" w:beforeAutospacing="0" w:after="0" w:afterAutospacing="0"/>
              <w:rPr>
                <w:rFonts w:asciiTheme="majorHAnsi" w:hAnsiTheme="majorHAnsi" w:cstheme="majorHAnsi"/>
                <w:color w:val="201F1E"/>
              </w:rPr>
            </w:pPr>
          </w:p>
        </w:tc>
      </w:tr>
      <w:tr w:rsidR="00D112D8" w14:paraId="1EA74D9A" w14:textId="77777777" w:rsidTr="00685A53">
        <w:tc>
          <w:tcPr>
            <w:tcW w:w="1615" w:type="dxa"/>
          </w:tcPr>
          <w:p w14:paraId="597F91E4"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3960" w:type="dxa"/>
          </w:tcPr>
          <w:p w14:paraId="0E0CBE1C" w14:textId="66285BC1"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Dividends received</w:t>
            </w:r>
            <w:r w:rsidR="006F3318">
              <w:rPr>
                <w:rFonts w:asciiTheme="majorHAnsi" w:hAnsiTheme="majorHAnsi" w:cstheme="majorHAnsi"/>
                <w:color w:val="201F1E"/>
              </w:rPr>
              <w:t xml:space="preserve"> account</w:t>
            </w:r>
          </w:p>
        </w:tc>
        <w:tc>
          <w:tcPr>
            <w:tcW w:w="1980" w:type="dxa"/>
          </w:tcPr>
          <w:p w14:paraId="19E5E954"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1795" w:type="dxa"/>
          </w:tcPr>
          <w:p w14:paraId="2434F4FD" w14:textId="1E54BF34"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12500</w:t>
            </w:r>
          </w:p>
        </w:tc>
      </w:tr>
    </w:tbl>
    <w:p w14:paraId="7EAEA890" w14:textId="77777777" w:rsidR="00685A53" w:rsidRPr="0028203A" w:rsidRDefault="00685A53" w:rsidP="00685A53">
      <w:pPr>
        <w:pStyle w:val="NormalWeb"/>
        <w:spacing w:before="0" w:beforeAutospacing="0" w:after="0" w:afterAutospacing="0"/>
        <w:rPr>
          <w:rFonts w:asciiTheme="majorHAnsi" w:hAnsiTheme="majorHAnsi" w:cstheme="majorHAnsi"/>
          <w:color w:val="201F1E"/>
        </w:rPr>
      </w:pPr>
    </w:p>
    <w:p w14:paraId="7B82EEDA" w14:textId="1358CF8F" w:rsidR="00685A53" w:rsidRDefault="0002598A" w:rsidP="00685A53">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1-10-21 Ocean sells all of its 2% common stock interest in River for $100,000 cash.</w:t>
      </w:r>
    </w:p>
    <w:tbl>
      <w:tblPr>
        <w:tblStyle w:val="TableGrid"/>
        <w:tblW w:w="0" w:type="auto"/>
        <w:tblLook w:val="04A0" w:firstRow="1" w:lastRow="0" w:firstColumn="1" w:lastColumn="0" w:noHBand="0" w:noVBand="1"/>
      </w:tblPr>
      <w:tblGrid>
        <w:gridCol w:w="1525"/>
        <w:gridCol w:w="4050"/>
        <w:gridCol w:w="1980"/>
        <w:gridCol w:w="1795"/>
      </w:tblGrid>
      <w:tr w:rsidR="00D112D8" w14:paraId="525131FE" w14:textId="77777777" w:rsidTr="00685A53">
        <w:tc>
          <w:tcPr>
            <w:tcW w:w="1525" w:type="dxa"/>
          </w:tcPr>
          <w:p w14:paraId="3CB6EB96"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5078A6AB"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3F9ECB68"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49EE3417" w14:textId="77777777"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6F7C910C" w14:textId="77777777" w:rsidTr="00685A53">
        <w:tc>
          <w:tcPr>
            <w:tcW w:w="1525" w:type="dxa"/>
          </w:tcPr>
          <w:p w14:paraId="0FF7BCBC" w14:textId="6FA81D90" w:rsidR="00685A53" w:rsidRDefault="00685A53" w:rsidP="007355DD">
            <w:pPr>
              <w:pStyle w:val="NormalWeb"/>
              <w:spacing w:before="0" w:beforeAutospacing="0" w:after="0" w:afterAutospacing="0"/>
              <w:rPr>
                <w:rFonts w:asciiTheme="majorHAnsi" w:hAnsiTheme="majorHAnsi" w:cstheme="majorHAnsi"/>
                <w:color w:val="201F1E"/>
              </w:rPr>
            </w:pPr>
          </w:p>
        </w:tc>
        <w:tc>
          <w:tcPr>
            <w:tcW w:w="4050" w:type="dxa"/>
          </w:tcPr>
          <w:p w14:paraId="2E103B82" w14:textId="5EFCEC09"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Cash account</w:t>
            </w:r>
          </w:p>
        </w:tc>
        <w:tc>
          <w:tcPr>
            <w:tcW w:w="1980" w:type="dxa"/>
          </w:tcPr>
          <w:p w14:paraId="3FC7C172" w14:textId="52C9512A"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100000</w:t>
            </w:r>
          </w:p>
        </w:tc>
        <w:tc>
          <w:tcPr>
            <w:tcW w:w="1795" w:type="dxa"/>
          </w:tcPr>
          <w:p w14:paraId="6D54F65F" w14:textId="77777777" w:rsidR="00685A53" w:rsidRDefault="00685A53" w:rsidP="007355DD">
            <w:pPr>
              <w:pStyle w:val="NormalWeb"/>
              <w:spacing w:before="0" w:beforeAutospacing="0" w:after="0" w:afterAutospacing="0"/>
              <w:rPr>
                <w:rFonts w:asciiTheme="majorHAnsi" w:hAnsiTheme="majorHAnsi" w:cstheme="majorHAnsi"/>
                <w:color w:val="201F1E"/>
              </w:rPr>
            </w:pPr>
          </w:p>
        </w:tc>
      </w:tr>
      <w:tr w:rsidR="00D112D8" w14:paraId="790403BB" w14:textId="77777777" w:rsidTr="00685A53">
        <w:tc>
          <w:tcPr>
            <w:tcW w:w="1525" w:type="dxa"/>
          </w:tcPr>
          <w:p w14:paraId="060EC85E" w14:textId="77777777" w:rsidR="006F3318" w:rsidRDefault="006F3318" w:rsidP="007355DD">
            <w:pPr>
              <w:pStyle w:val="NormalWeb"/>
              <w:spacing w:before="0" w:beforeAutospacing="0" w:after="0" w:afterAutospacing="0"/>
              <w:rPr>
                <w:rFonts w:asciiTheme="majorHAnsi" w:hAnsiTheme="majorHAnsi" w:cstheme="majorHAnsi"/>
                <w:color w:val="201F1E"/>
              </w:rPr>
            </w:pPr>
          </w:p>
        </w:tc>
        <w:tc>
          <w:tcPr>
            <w:tcW w:w="4050" w:type="dxa"/>
          </w:tcPr>
          <w:p w14:paraId="0029723A" w14:textId="1AE87B67" w:rsidR="006F3318"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Paid-in-capital account</w:t>
            </w:r>
          </w:p>
        </w:tc>
        <w:tc>
          <w:tcPr>
            <w:tcW w:w="1980" w:type="dxa"/>
          </w:tcPr>
          <w:p w14:paraId="510FD7C3" w14:textId="77777777" w:rsidR="006F3318" w:rsidRDefault="006F3318" w:rsidP="007355DD">
            <w:pPr>
              <w:pStyle w:val="NormalWeb"/>
              <w:spacing w:before="0" w:beforeAutospacing="0" w:after="0" w:afterAutospacing="0"/>
              <w:rPr>
                <w:rFonts w:asciiTheme="majorHAnsi" w:hAnsiTheme="majorHAnsi" w:cstheme="majorHAnsi"/>
                <w:color w:val="201F1E"/>
              </w:rPr>
            </w:pPr>
          </w:p>
        </w:tc>
        <w:tc>
          <w:tcPr>
            <w:tcW w:w="1795" w:type="dxa"/>
          </w:tcPr>
          <w:p w14:paraId="67D532A0" w14:textId="30EEAF96" w:rsidR="006F3318"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25000</w:t>
            </w:r>
          </w:p>
        </w:tc>
      </w:tr>
      <w:tr w:rsidR="00D112D8" w14:paraId="49BDDC6F" w14:textId="77777777" w:rsidTr="00685A53">
        <w:tc>
          <w:tcPr>
            <w:tcW w:w="1525" w:type="dxa"/>
          </w:tcPr>
          <w:p w14:paraId="18D560FD"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4050" w:type="dxa"/>
          </w:tcPr>
          <w:p w14:paraId="4CF6857A" w14:textId="426FA76E"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Common stock account</w:t>
            </w:r>
          </w:p>
        </w:tc>
        <w:tc>
          <w:tcPr>
            <w:tcW w:w="1980" w:type="dxa"/>
          </w:tcPr>
          <w:p w14:paraId="286B82AC" w14:textId="77777777" w:rsidR="00685A53" w:rsidRDefault="00685A53" w:rsidP="007355DD">
            <w:pPr>
              <w:pStyle w:val="NormalWeb"/>
              <w:spacing w:before="0" w:beforeAutospacing="0" w:after="0" w:afterAutospacing="0"/>
              <w:rPr>
                <w:rFonts w:asciiTheme="majorHAnsi" w:hAnsiTheme="majorHAnsi" w:cstheme="majorHAnsi"/>
                <w:color w:val="201F1E"/>
              </w:rPr>
            </w:pPr>
          </w:p>
        </w:tc>
        <w:tc>
          <w:tcPr>
            <w:tcW w:w="1795" w:type="dxa"/>
          </w:tcPr>
          <w:p w14:paraId="3F80C2CC" w14:textId="56047524" w:rsidR="00685A53"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75000</w:t>
            </w:r>
          </w:p>
        </w:tc>
      </w:tr>
    </w:tbl>
    <w:p w14:paraId="511F66C8" w14:textId="77777777" w:rsidR="00685A53" w:rsidRPr="0028203A" w:rsidRDefault="00685A53" w:rsidP="00685A53">
      <w:pPr>
        <w:pStyle w:val="NormalWeb"/>
        <w:spacing w:before="0" w:beforeAutospacing="0" w:after="0" w:afterAutospacing="0"/>
        <w:rPr>
          <w:rFonts w:asciiTheme="majorHAnsi" w:hAnsiTheme="majorHAnsi" w:cstheme="majorHAnsi"/>
          <w:color w:val="201F1E"/>
        </w:rPr>
      </w:pPr>
    </w:p>
    <w:p w14:paraId="13E0F89D" w14:textId="77777777" w:rsidR="002B1BED" w:rsidRPr="00685A53" w:rsidRDefault="002B1BED" w:rsidP="00685A53">
      <w:pPr>
        <w:rPr>
          <w:rFonts w:asciiTheme="majorHAnsi" w:hAnsiTheme="majorHAnsi" w:cstheme="majorHAnsi"/>
          <w:b/>
          <w:bCs/>
          <w:szCs w:val="24"/>
          <w:u w:val="single"/>
        </w:rPr>
      </w:pPr>
    </w:p>
    <w:p w14:paraId="0664CBF5" w14:textId="77777777" w:rsidR="00E622D1" w:rsidRPr="0028203A" w:rsidRDefault="0002598A" w:rsidP="00E622D1">
      <w:pPr>
        <w:pStyle w:val="NormalWeb"/>
        <w:rPr>
          <w:rFonts w:asciiTheme="majorHAnsi" w:hAnsiTheme="majorHAnsi" w:cstheme="majorHAnsi"/>
          <w:color w:val="201F1E"/>
        </w:rPr>
      </w:pPr>
      <w:r w:rsidRPr="0028203A">
        <w:rPr>
          <w:rFonts w:asciiTheme="majorHAnsi" w:hAnsiTheme="majorHAnsi" w:cstheme="majorHAnsi"/>
          <w:color w:val="201F1E"/>
        </w:rPr>
        <w:t>Prepare journal entries for Sun Co fr the following transactions:</w:t>
      </w:r>
    </w:p>
    <w:p w14:paraId="63F123B5" w14:textId="23ED9015" w:rsidR="00E622D1" w:rsidRDefault="0002598A" w:rsidP="00E622D1">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1-1-20 Sun buys 10% of Moon Co. common stock paying $50,000 cash.</w:t>
      </w:r>
    </w:p>
    <w:tbl>
      <w:tblPr>
        <w:tblStyle w:val="TableGrid"/>
        <w:tblW w:w="0" w:type="auto"/>
        <w:tblLook w:val="04A0" w:firstRow="1" w:lastRow="0" w:firstColumn="1" w:lastColumn="0" w:noHBand="0" w:noVBand="1"/>
      </w:tblPr>
      <w:tblGrid>
        <w:gridCol w:w="1525"/>
        <w:gridCol w:w="4050"/>
        <w:gridCol w:w="1980"/>
        <w:gridCol w:w="1795"/>
      </w:tblGrid>
      <w:tr w:rsidR="00D112D8" w14:paraId="4334EE0F" w14:textId="77777777" w:rsidTr="007355DD">
        <w:tc>
          <w:tcPr>
            <w:tcW w:w="1525" w:type="dxa"/>
          </w:tcPr>
          <w:p w14:paraId="199F06C3"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04D316F3"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31240CEB"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4F106664"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41D74477" w14:textId="77777777" w:rsidTr="007355DD">
        <w:tc>
          <w:tcPr>
            <w:tcW w:w="1525" w:type="dxa"/>
          </w:tcPr>
          <w:p w14:paraId="609D8638" w14:textId="5FF028AE"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1-1-20</w:t>
            </w:r>
          </w:p>
        </w:tc>
        <w:tc>
          <w:tcPr>
            <w:tcW w:w="4050" w:type="dxa"/>
          </w:tcPr>
          <w:p w14:paraId="16330B35" w14:textId="5B0471A9"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Common stock account</w:t>
            </w:r>
          </w:p>
        </w:tc>
        <w:tc>
          <w:tcPr>
            <w:tcW w:w="1980" w:type="dxa"/>
          </w:tcPr>
          <w:p w14:paraId="3F41A335" w14:textId="16B2314E"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50000</w:t>
            </w:r>
          </w:p>
        </w:tc>
        <w:tc>
          <w:tcPr>
            <w:tcW w:w="1795" w:type="dxa"/>
          </w:tcPr>
          <w:p w14:paraId="541EEF83" w14:textId="77777777" w:rsidR="00E622D1" w:rsidRDefault="00E622D1" w:rsidP="007355DD">
            <w:pPr>
              <w:pStyle w:val="NormalWeb"/>
              <w:spacing w:before="0" w:beforeAutospacing="0" w:after="0" w:afterAutospacing="0"/>
              <w:rPr>
                <w:rFonts w:asciiTheme="majorHAnsi" w:hAnsiTheme="majorHAnsi" w:cstheme="majorHAnsi"/>
                <w:color w:val="201F1E"/>
              </w:rPr>
            </w:pPr>
          </w:p>
        </w:tc>
      </w:tr>
      <w:tr w:rsidR="00D112D8" w14:paraId="0EEB964A" w14:textId="77777777" w:rsidTr="007355DD">
        <w:tc>
          <w:tcPr>
            <w:tcW w:w="1525" w:type="dxa"/>
          </w:tcPr>
          <w:p w14:paraId="7A6A54D4"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5C4553C8" w14:textId="17FBFFE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Cash account</w:t>
            </w:r>
          </w:p>
        </w:tc>
        <w:tc>
          <w:tcPr>
            <w:tcW w:w="1980" w:type="dxa"/>
          </w:tcPr>
          <w:p w14:paraId="6AAC08C7"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1795" w:type="dxa"/>
          </w:tcPr>
          <w:p w14:paraId="64D9B46D" w14:textId="0155BA09"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50000</w:t>
            </w:r>
          </w:p>
        </w:tc>
      </w:tr>
    </w:tbl>
    <w:p w14:paraId="6BBD395D" w14:textId="77777777" w:rsidR="00E622D1" w:rsidRPr="0028203A" w:rsidRDefault="00E622D1" w:rsidP="00E622D1">
      <w:pPr>
        <w:pStyle w:val="NormalWeb"/>
        <w:spacing w:before="0" w:beforeAutospacing="0" w:after="0" w:afterAutospacing="0"/>
        <w:rPr>
          <w:rFonts w:asciiTheme="majorHAnsi" w:hAnsiTheme="majorHAnsi" w:cstheme="majorHAnsi"/>
          <w:color w:val="201F1E"/>
        </w:rPr>
      </w:pPr>
    </w:p>
    <w:p w14:paraId="34F3CF51" w14:textId="554E866A" w:rsidR="00E622D1" w:rsidRDefault="0002598A" w:rsidP="00E622D1">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6-30-20 Moon earns $100,000 and declares a dividend of $30,000.</w:t>
      </w:r>
    </w:p>
    <w:tbl>
      <w:tblPr>
        <w:tblStyle w:val="TableGrid"/>
        <w:tblW w:w="0" w:type="auto"/>
        <w:tblLook w:val="04A0" w:firstRow="1" w:lastRow="0" w:firstColumn="1" w:lastColumn="0" w:noHBand="0" w:noVBand="1"/>
      </w:tblPr>
      <w:tblGrid>
        <w:gridCol w:w="1525"/>
        <w:gridCol w:w="4050"/>
        <w:gridCol w:w="1980"/>
        <w:gridCol w:w="1795"/>
      </w:tblGrid>
      <w:tr w:rsidR="00D112D8" w14:paraId="014E0C2E" w14:textId="77777777" w:rsidTr="007355DD">
        <w:tc>
          <w:tcPr>
            <w:tcW w:w="1525" w:type="dxa"/>
          </w:tcPr>
          <w:p w14:paraId="7EF13C71"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07A8B7A9"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6E9A8491"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38DC9507"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7F6B6AE4" w14:textId="77777777" w:rsidTr="007355DD">
        <w:tc>
          <w:tcPr>
            <w:tcW w:w="1525" w:type="dxa"/>
          </w:tcPr>
          <w:p w14:paraId="2A360400" w14:textId="5EAC932E"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6-30-20</w:t>
            </w:r>
          </w:p>
        </w:tc>
        <w:tc>
          <w:tcPr>
            <w:tcW w:w="4050" w:type="dxa"/>
          </w:tcPr>
          <w:p w14:paraId="75442BD2" w14:textId="64B70478"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Retained earnings account</w:t>
            </w:r>
          </w:p>
        </w:tc>
        <w:tc>
          <w:tcPr>
            <w:tcW w:w="1980" w:type="dxa"/>
          </w:tcPr>
          <w:p w14:paraId="535208FE" w14:textId="46EB7E94"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30,000</w:t>
            </w:r>
          </w:p>
        </w:tc>
        <w:tc>
          <w:tcPr>
            <w:tcW w:w="1795" w:type="dxa"/>
          </w:tcPr>
          <w:p w14:paraId="0D2FD783" w14:textId="77777777" w:rsidR="00E622D1" w:rsidRDefault="00E622D1" w:rsidP="007355DD">
            <w:pPr>
              <w:pStyle w:val="NormalWeb"/>
              <w:spacing w:before="0" w:beforeAutospacing="0" w:after="0" w:afterAutospacing="0"/>
              <w:rPr>
                <w:rFonts w:asciiTheme="majorHAnsi" w:hAnsiTheme="majorHAnsi" w:cstheme="majorHAnsi"/>
                <w:color w:val="201F1E"/>
              </w:rPr>
            </w:pPr>
          </w:p>
        </w:tc>
      </w:tr>
      <w:tr w:rsidR="00D112D8" w14:paraId="36697867" w14:textId="77777777" w:rsidTr="007355DD">
        <w:tc>
          <w:tcPr>
            <w:tcW w:w="1525" w:type="dxa"/>
          </w:tcPr>
          <w:p w14:paraId="56F0B6C5"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6BA08CD7" w14:textId="76007CA2"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Dividends  payable account</w:t>
            </w:r>
          </w:p>
        </w:tc>
        <w:tc>
          <w:tcPr>
            <w:tcW w:w="1980" w:type="dxa"/>
          </w:tcPr>
          <w:p w14:paraId="0947F5D1"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1795" w:type="dxa"/>
          </w:tcPr>
          <w:p w14:paraId="28AE0102" w14:textId="47A7A730"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30,000</w:t>
            </w:r>
          </w:p>
        </w:tc>
      </w:tr>
    </w:tbl>
    <w:p w14:paraId="4087846C" w14:textId="77777777" w:rsidR="00E622D1" w:rsidRPr="0028203A" w:rsidRDefault="00E622D1" w:rsidP="00E622D1">
      <w:pPr>
        <w:pStyle w:val="NormalWeb"/>
        <w:spacing w:before="0" w:beforeAutospacing="0" w:after="0" w:afterAutospacing="0"/>
        <w:rPr>
          <w:rFonts w:asciiTheme="majorHAnsi" w:hAnsiTheme="majorHAnsi" w:cstheme="majorHAnsi"/>
          <w:color w:val="201F1E"/>
        </w:rPr>
      </w:pPr>
    </w:p>
    <w:p w14:paraId="086513DF" w14:textId="47C8C9F2" w:rsidR="00E622D1" w:rsidRDefault="0002598A" w:rsidP="00E622D1">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 xml:space="preserve">7-15-20 Moon pays dividends </w:t>
      </w:r>
      <w:r w:rsidR="006F3318" w:rsidRPr="0028203A">
        <w:rPr>
          <w:rFonts w:asciiTheme="majorHAnsi" w:hAnsiTheme="majorHAnsi" w:cstheme="majorHAnsi"/>
          <w:color w:val="201F1E"/>
        </w:rPr>
        <w:t>totaling</w:t>
      </w:r>
      <w:r w:rsidRPr="0028203A">
        <w:rPr>
          <w:rFonts w:asciiTheme="majorHAnsi" w:hAnsiTheme="majorHAnsi" w:cstheme="majorHAnsi"/>
          <w:color w:val="201F1E"/>
        </w:rPr>
        <w:t xml:space="preserve"> $30,000.</w:t>
      </w:r>
    </w:p>
    <w:tbl>
      <w:tblPr>
        <w:tblStyle w:val="TableGrid"/>
        <w:tblW w:w="0" w:type="auto"/>
        <w:tblLook w:val="04A0" w:firstRow="1" w:lastRow="0" w:firstColumn="1" w:lastColumn="0" w:noHBand="0" w:noVBand="1"/>
      </w:tblPr>
      <w:tblGrid>
        <w:gridCol w:w="1525"/>
        <w:gridCol w:w="4050"/>
        <w:gridCol w:w="1980"/>
        <w:gridCol w:w="1795"/>
      </w:tblGrid>
      <w:tr w:rsidR="00D112D8" w14:paraId="53B24D2F" w14:textId="77777777" w:rsidTr="007355DD">
        <w:tc>
          <w:tcPr>
            <w:tcW w:w="1525" w:type="dxa"/>
          </w:tcPr>
          <w:p w14:paraId="073CD69F"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44024503"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261E6739"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776AB518"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50A2EDC3" w14:textId="77777777" w:rsidTr="007355DD">
        <w:tc>
          <w:tcPr>
            <w:tcW w:w="1525" w:type="dxa"/>
          </w:tcPr>
          <w:p w14:paraId="7A47DA77" w14:textId="01C054F0"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7-15-20</w:t>
            </w:r>
          </w:p>
        </w:tc>
        <w:tc>
          <w:tcPr>
            <w:tcW w:w="4050" w:type="dxa"/>
          </w:tcPr>
          <w:p w14:paraId="3194F1A1" w14:textId="259FF1AE"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Dividends payable </w:t>
            </w:r>
          </w:p>
        </w:tc>
        <w:tc>
          <w:tcPr>
            <w:tcW w:w="1980" w:type="dxa"/>
          </w:tcPr>
          <w:p w14:paraId="3A0684A1" w14:textId="2D584F78"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30000</w:t>
            </w:r>
          </w:p>
        </w:tc>
        <w:tc>
          <w:tcPr>
            <w:tcW w:w="1795" w:type="dxa"/>
          </w:tcPr>
          <w:p w14:paraId="271AF7D8" w14:textId="77777777" w:rsidR="00E622D1" w:rsidRDefault="00E622D1" w:rsidP="007355DD">
            <w:pPr>
              <w:pStyle w:val="NormalWeb"/>
              <w:spacing w:before="0" w:beforeAutospacing="0" w:after="0" w:afterAutospacing="0"/>
              <w:rPr>
                <w:rFonts w:asciiTheme="majorHAnsi" w:hAnsiTheme="majorHAnsi" w:cstheme="majorHAnsi"/>
                <w:color w:val="201F1E"/>
              </w:rPr>
            </w:pPr>
          </w:p>
        </w:tc>
      </w:tr>
      <w:tr w:rsidR="00D112D8" w14:paraId="3007E211" w14:textId="77777777" w:rsidTr="007355DD">
        <w:tc>
          <w:tcPr>
            <w:tcW w:w="1525" w:type="dxa"/>
          </w:tcPr>
          <w:p w14:paraId="158838F2"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25FD4CFE" w14:textId="15D3E30C"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cash</w:t>
            </w:r>
          </w:p>
        </w:tc>
        <w:tc>
          <w:tcPr>
            <w:tcW w:w="1980" w:type="dxa"/>
          </w:tcPr>
          <w:p w14:paraId="017F8524"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1795" w:type="dxa"/>
          </w:tcPr>
          <w:p w14:paraId="142379E4" w14:textId="7611515A"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30000</w:t>
            </w:r>
          </w:p>
        </w:tc>
      </w:tr>
    </w:tbl>
    <w:p w14:paraId="76C9B3B3" w14:textId="77777777" w:rsidR="00E622D1" w:rsidRPr="0028203A" w:rsidRDefault="00E622D1" w:rsidP="00E622D1">
      <w:pPr>
        <w:pStyle w:val="NormalWeb"/>
        <w:spacing w:before="0" w:beforeAutospacing="0" w:after="0" w:afterAutospacing="0"/>
        <w:rPr>
          <w:rFonts w:asciiTheme="majorHAnsi" w:hAnsiTheme="majorHAnsi" w:cstheme="majorHAnsi"/>
          <w:color w:val="201F1E"/>
        </w:rPr>
      </w:pPr>
    </w:p>
    <w:p w14:paraId="28B80364" w14:textId="32FFDDE7" w:rsidR="00E622D1" w:rsidRDefault="0002598A" w:rsidP="00E622D1">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8-30-20 Sun buys an additional 15% of Moon's common stock paying $75,000.</w:t>
      </w:r>
    </w:p>
    <w:p w14:paraId="1CF0B4C5" w14:textId="5953B8D7" w:rsidR="00E622D1" w:rsidRDefault="00E622D1" w:rsidP="00E622D1">
      <w:pPr>
        <w:pStyle w:val="NormalWeb"/>
        <w:spacing w:before="0" w:beforeAutospacing="0" w:after="0" w:afterAutospacing="0"/>
        <w:rPr>
          <w:rFonts w:asciiTheme="majorHAnsi" w:hAnsiTheme="majorHAnsi" w:cstheme="majorHAnsi"/>
          <w:color w:val="201F1E"/>
        </w:rPr>
      </w:pPr>
    </w:p>
    <w:tbl>
      <w:tblPr>
        <w:tblStyle w:val="TableGrid"/>
        <w:tblW w:w="0" w:type="auto"/>
        <w:tblLook w:val="04A0" w:firstRow="1" w:lastRow="0" w:firstColumn="1" w:lastColumn="0" w:noHBand="0" w:noVBand="1"/>
      </w:tblPr>
      <w:tblGrid>
        <w:gridCol w:w="1525"/>
        <w:gridCol w:w="4050"/>
        <w:gridCol w:w="1980"/>
        <w:gridCol w:w="1795"/>
      </w:tblGrid>
      <w:tr w:rsidR="00D112D8" w14:paraId="79CB46FA" w14:textId="77777777" w:rsidTr="007355DD">
        <w:tc>
          <w:tcPr>
            <w:tcW w:w="1525" w:type="dxa"/>
          </w:tcPr>
          <w:p w14:paraId="39787B08"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5E14C3B9"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Account </w:t>
            </w:r>
          </w:p>
        </w:tc>
        <w:tc>
          <w:tcPr>
            <w:tcW w:w="1980" w:type="dxa"/>
          </w:tcPr>
          <w:p w14:paraId="5DA5823F"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31829643"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3E4F12C2" w14:textId="77777777" w:rsidTr="007355DD">
        <w:tc>
          <w:tcPr>
            <w:tcW w:w="1525" w:type="dxa"/>
          </w:tcPr>
          <w:p w14:paraId="066EDF55"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667A72C1" w14:textId="59FCC7AC"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Common stock account</w:t>
            </w:r>
          </w:p>
        </w:tc>
        <w:tc>
          <w:tcPr>
            <w:tcW w:w="1980" w:type="dxa"/>
          </w:tcPr>
          <w:p w14:paraId="02913CC5" w14:textId="6135797F"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75000</w:t>
            </w:r>
          </w:p>
        </w:tc>
        <w:tc>
          <w:tcPr>
            <w:tcW w:w="1795" w:type="dxa"/>
          </w:tcPr>
          <w:p w14:paraId="18D4FF33" w14:textId="77777777" w:rsidR="00E622D1" w:rsidRDefault="00E622D1" w:rsidP="007355DD">
            <w:pPr>
              <w:pStyle w:val="NormalWeb"/>
              <w:spacing w:before="0" w:beforeAutospacing="0" w:after="0" w:afterAutospacing="0"/>
              <w:rPr>
                <w:rFonts w:asciiTheme="majorHAnsi" w:hAnsiTheme="majorHAnsi" w:cstheme="majorHAnsi"/>
                <w:color w:val="201F1E"/>
              </w:rPr>
            </w:pPr>
          </w:p>
        </w:tc>
      </w:tr>
      <w:tr w:rsidR="00D112D8" w14:paraId="70497A50" w14:textId="77777777" w:rsidTr="007355DD">
        <w:tc>
          <w:tcPr>
            <w:tcW w:w="1525" w:type="dxa"/>
          </w:tcPr>
          <w:p w14:paraId="7A8F750A"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6C89F54B" w14:textId="604D2BB0"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cash</w:t>
            </w:r>
          </w:p>
        </w:tc>
        <w:tc>
          <w:tcPr>
            <w:tcW w:w="1980" w:type="dxa"/>
          </w:tcPr>
          <w:p w14:paraId="03943769"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1795" w:type="dxa"/>
          </w:tcPr>
          <w:p w14:paraId="681E5FAE" w14:textId="34A3A796"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75000</w:t>
            </w:r>
          </w:p>
        </w:tc>
      </w:tr>
    </w:tbl>
    <w:p w14:paraId="7BE6F0AF" w14:textId="77777777" w:rsidR="00E622D1" w:rsidRPr="0028203A" w:rsidRDefault="00E622D1" w:rsidP="00E622D1">
      <w:pPr>
        <w:pStyle w:val="NormalWeb"/>
        <w:spacing w:before="0" w:beforeAutospacing="0" w:after="0" w:afterAutospacing="0"/>
        <w:rPr>
          <w:rFonts w:asciiTheme="majorHAnsi" w:hAnsiTheme="majorHAnsi" w:cstheme="majorHAnsi"/>
          <w:color w:val="201F1E"/>
        </w:rPr>
      </w:pPr>
    </w:p>
    <w:p w14:paraId="3666E1B4" w14:textId="77777777" w:rsidR="00E622D1" w:rsidRPr="0028203A" w:rsidRDefault="0002598A" w:rsidP="00E622D1">
      <w:pPr>
        <w:pStyle w:val="NormalWeb"/>
        <w:spacing w:before="0" w:beforeAutospacing="0" w:after="0" w:afterAutospacing="0"/>
        <w:rPr>
          <w:rFonts w:asciiTheme="majorHAnsi" w:hAnsiTheme="majorHAnsi" w:cstheme="majorHAnsi"/>
          <w:color w:val="201F1E"/>
        </w:rPr>
      </w:pPr>
      <w:r w:rsidRPr="0028203A">
        <w:rPr>
          <w:rFonts w:asciiTheme="majorHAnsi" w:hAnsiTheme="majorHAnsi" w:cstheme="majorHAnsi"/>
          <w:color w:val="201F1E"/>
        </w:rPr>
        <w:t xml:space="preserve">6-30-21 Moon earns $100,000 and </w:t>
      </w:r>
      <w:r w:rsidRPr="0028203A">
        <w:rPr>
          <w:rFonts w:asciiTheme="majorHAnsi" w:hAnsiTheme="majorHAnsi" w:cstheme="majorHAnsi"/>
          <w:color w:val="201F1E"/>
        </w:rPr>
        <w:t>declares dividends of $40,000.</w:t>
      </w:r>
    </w:p>
    <w:tbl>
      <w:tblPr>
        <w:tblStyle w:val="TableGrid"/>
        <w:tblW w:w="0" w:type="auto"/>
        <w:tblLook w:val="04A0" w:firstRow="1" w:lastRow="0" w:firstColumn="1" w:lastColumn="0" w:noHBand="0" w:noVBand="1"/>
      </w:tblPr>
      <w:tblGrid>
        <w:gridCol w:w="1525"/>
        <w:gridCol w:w="4050"/>
        <w:gridCol w:w="1980"/>
        <w:gridCol w:w="1795"/>
      </w:tblGrid>
      <w:tr w:rsidR="00D112D8" w14:paraId="777E5B6C" w14:textId="77777777" w:rsidTr="007355DD">
        <w:tc>
          <w:tcPr>
            <w:tcW w:w="1525" w:type="dxa"/>
          </w:tcPr>
          <w:p w14:paraId="4DE642AD"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Date </w:t>
            </w:r>
          </w:p>
        </w:tc>
        <w:tc>
          <w:tcPr>
            <w:tcW w:w="4050" w:type="dxa"/>
          </w:tcPr>
          <w:p w14:paraId="1598CB2E" w14:textId="0B18065E" w:rsidR="00E622D1" w:rsidRDefault="00E622D1" w:rsidP="007355DD">
            <w:pPr>
              <w:pStyle w:val="NormalWeb"/>
              <w:spacing w:before="0" w:beforeAutospacing="0" w:after="0" w:afterAutospacing="0"/>
              <w:rPr>
                <w:rFonts w:asciiTheme="majorHAnsi" w:hAnsiTheme="majorHAnsi" w:cstheme="majorHAnsi"/>
                <w:color w:val="201F1E"/>
              </w:rPr>
            </w:pPr>
          </w:p>
        </w:tc>
        <w:tc>
          <w:tcPr>
            <w:tcW w:w="1980" w:type="dxa"/>
          </w:tcPr>
          <w:p w14:paraId="21B75F82"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Debit </w:t>
            </w:r>
          </w:p>
        </w:tc>
        <w:tc>
          <w:tcPr>
            <w:tcW w:w="1795" w:type="dxa"/>
          </w:tcPr>
          <w:p w14:paraId="12D7AFC2" w14:textId="77777777"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 xml:space="preserve">Credit </w:t>
            </w:r>
          </w:p>
        </w:tc>
      </w:tr>
      <w:tr w:rsidR="00D112D8" w14:paraId="08FA6F04" w14:textId="77777777" w:rsidTr="007355DD">
        <w:tc>
          <w:tcPr>
            <w:tcW w:w="1525" w:type="dxa"/>
          </w:tcPr>
          <w:p w14:paraId="4586360B"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48D42EEB" w14:textId="286E7DAB"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Dividend receivable</w:t>
            </w:r>
          </w:p>
        </w:tc>
        <w:tc>
          <w:tcPr>
            <w:tcW w:w="1980" w:type="dxa"/>
          </w:tcPr>
          <w:p w14:paraId="0F18CEEE" w14:textId="30C87566"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40000</w:t>
            </w:r>
          </w:p>
        </w:tc>
        <w:tc>
          <w:tcPr>
            <w:tcW w:w="1795" w:type="dxa"/>
          </w:tcPr>
          <w:p w14:paraId="45C746F8" w14:textId="77777777" w:rsidR="00E622D1" w:rsidRDefault="00E622D1" w:rsidP="007355DD">
            <w:pPr>
              <w:pStyle w:val="NormalWeb"/>
              <w:spacing w:before="0" w:beforeAutospacing="0" w:after="0" w:afterAutospacing="0"/>
              <w:rPr>
                <w:rFonts w:asciiTheme="majorHAnsi" w:hAnsiTheme="majorHAnsi" w:cstheme="majorHAnsi"/>
                <w:color w:val="201F1E"/>
              </w:rPr>
            </w:pPr>
          </w:p>
        </w:tc>
      </w:tr>
      <w:tr w:rsidR="00D112D8" w14:paraId="30C0C1EB" w14:textId="77777777" w:rsidTr="007355DD">
        <w:tc>
          <w:tcPr>
            <w:tcW w:w="1525" w:type="dxa"/>
          </w:tcPr>
          <w:p w14:paraId="0A81948B"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4050" w:type="dxa"/>
          </w:tcPr>
          <w:p w14:paraId="282C52CB" w14:textId="611C7B7E"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Dividen</w:t>
            </w:r>
            <w:r w:rsidR="001E2379">
              <w:rPr>
                <w:rFonts w:asciiTheme="majorHAnsi" w:hAnsiTheme="majorHAnsi" w:cstheme="majorHAnsi"/>
                <w:color w:val="201F1E"/>
              </w:rPr>
              <w:t>d income</w:t>
            </w:r>
          </w:p>
        </w:tc>
        <w:tc>
          <w:tcPr>
            <w:tcW w:w="1980" w:type="dxa"/>
          </w:tcPr>
          <w:p w14:paraId="4770F55C" w14:textId="77777777" w:rsidR="00E622D1" w:rsidRDefault="00E622D1" w:rsidP="007355DD">
            <w:pPr>
              <w:pStyle w:val="NormalWeb"/>
              <w:spacing w:before="0" w:beforeAutospacing="0" w:after="0" w:afterAutospacing="0"/>
              <w:rPr>
                <w:rFonts w:asciiTheme="majorHAnsi" w:hAnsiTheme="majorHAnsi" w:cstheme="majorHAnsi"/>
                <w:color w:val="201F1E"/>
              </w:rPr>
            </w:pPr>
          </w:p>
        </w:tc>
        <w:tc>
          <w:tcPr>
            <w:tcW w:w="1795" w:type="dxa"/>
          </w:tcPr>
          <w:p w14:paraId="5381AC6D" w14:textId="7BBD3B2B" w:rsidR="00E622D1" w:rsidRDefault="0002598A" w:rsidP="007355DD">
            <w:pPr>
              <w:pStyle w:val="NormalWeb"/>
              <w:spacing w:before="0" w:beforeAutospacing="0" w:after="0" w:afterAutospacing="0"/>
              <w:rPr>
                <w:rFonts w:asciiTheme="majorHAnsi" w:hAnsiTheme="majorHAnsi" w:cstheme="majorHAnsi"/>
                <w:color w:val="201F1E"/>
              </w:rPr>
            </w:pPr>
            <w:r>
              <w:rPr>
                <w:rFonts w:asciiTheme="majorHAnsi" w:hAnsiTheme="majorHAnsi" w:cstheme="majorHAnsi"/>
                <w:color w:val="201F1E"/>
              </w:rPr>
              <w:t>40000</w:t>
            </w:r>
          </w:p>
        </w:tc>
      </w:tr>
    </w:tbl>
    <w:p w14:paraId="2AF3F0BF" w14:textId="3CC3161B" w:rsidR="00D45AC9" w:rsidRPr="002B1BED" w:rsidRDefault="00D45AC9" w:rsidP="00E622D1">
      <w:pPr>
        <w:spacing w:line="240" w:lineRule="auto"/>
        <w:rPr>
          <w:rFonts w:asciiTheme="majorHAnsi" w:eastAsia="Times New Roman" w:hAnsiTheme="majorHAnsi" w:cstheme="majorHAnsi"/>
          <w:b/>
          <w:bCs/>
          <w:szCs w:val="24"/>
          <w:u w:val="single"/>
          <w:lang w:val="en"/>
        </w:rPr>
      </w:pPr>
    </w:p>
    <w:sectPr w:rsidR="00D45AC9" w:rsidRPr="002B1B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4108"/>
    <w:multiLevelType w:val="hybridMultilevel"/>
    <w:tmpl w:val="10D64452"/>
    <w:lvl w:ilvl="0" w:tplc="6256EBD6">
      <w:start w:val="1"/>
      <w:numFmt w:val="decimal"/>
      <w:lvlText w:val="%1."/>
      <w:lvlJc w:val="left"/>
      <w:pPr>
        <w:ind w:left="720" w:hanging="360"/>
      </w:pPr>
    </w:lvl>
    <w:lvl w:ilvl="1" w:tplc="24D0A43A" w:tentative="1">
      <w:start w:val="1"/>
      <w:numFmt w:val="lowerLetter"/>
      <w:lvlText w:val="%2."/>
      <w:lvlJc w:val="left"/>
      <w:pPr>
        <w:ind w:left="1440" w:hanging="360"/>
      </w:pPr>
    </w:lvl>
    <w:lvl w:ilvl="2" w:tplc="B420D116" w:tentative="1">
      <w:start w:val="1"/>
      <w:numFmt w:val="lowerRoman"/>
      <w:lvlText w:val="%3."/>
      <w:lvlJc w:val="right"/>
      <w:pPr>
        <w:ind w:left="2160" w:hanging="180"/>
      </w:pPr>
    </w:lvl>
    <w:lvl w:ilvl="3" w:tplc="D41CDC7C" w:tentative="1">
      <w:start w:val="1"/>
      <w:numFmt w:val="decimal"/>
      <w:lvlText w:val="%4."/>
      <w:lvlJc w:val="left"/>
      <w:pPr>
        <w:ind w:left="2880" w:hanging="360"/>
      </w:pPr>
    </w:lvl>
    <w:lvl w:ilvl="4" w:tplc="1E44658A" w:tentative="1">
      <w:start w:val="1"/>
      <w:numFmt w:val="lowerLetter"/>
      <w:lvlText w:val="%5."/>
      <w:lvlJc w:val="left"/>
      <w:pPr>
        <w:ind w:left="3600" w:hanging="360"/>
      </w:pPr>
    </w:lvl>
    <w:lvl w:ilvl="5" w:tplc="D0481910" w:tentative="1">
      <w:start w:val="1"/>
      <w:numFmt w:val="lowerRoman"/>
      <w:lvlText w:val="%6."/>
      <w:lvlJc w:val="right"/>
      <w:pPr>
        <w:ind w:left="4320" w:hanging="180"/>
      </w:pPr>
    </w:lvl>
    <w:lvl w:ilvl="6" w:tplc="045CA026" w:tentative="1">
      <w:start w:val="1"/>
      <w:numFmt w:val="decimal"/>
      <w:lvlText w:val="%7."/>
      <w:lvlJc w:val="left"/>
      <w:pPr>
        <w:ind w:left="5040" w:hanging="360"/>
      </w:pPr>
    </w:lvl>
    <w:lvl w:ilvl="7" w:tplc="3814E51E" w:tentative="1">
      <w:start w:val="1"/>
      <w:numFmt w:val="lowerLetter"/>
      <w:lvlText w:val="%8."/>
      <w:lvlJc w:val="left"/>
      <w:pPr>
        <w:ind w:left="5760" w:hanging="360"/>
      </w:pPr>
    </w:lvl>
    <w:lvl w:ilvl="8" w:tplc="4ED6D762" w:tentative="1">
      <w:start w:val="1"/>
      <w:numFmt w:val="lowerRoman"/>
      <w:lvlText w:val="%9."/>
      <w:lvlJc w:val="right"/>
      <w:pPr>
        <w:ind w:left="6480" w:hanging="180"/>
      </w:pPr>
    </w:lvl>
  </w:abstractNum>
  <w:abstractNum w:abstractNumId="1" w15:restartNumberingAfterBreak="0">
    <w:nsid w:val="162545AD"/>
    <w:multiLevelType w:val="hybridMultilevel"/>
    <w:tmpl w:val="9C4C89BE"/>
    <w:lvl w:ilvl="0" w:tplc="C4E61E76">
      <w:start w:val="1"/>
      <w:numFmt w:val="lowerLetter"/>
      <w:lvlText w:val="%1)"/>
      <w:lvlJc w:val="left"/>
      <w:pPr>
        <w:ind w:left="1440" w:hanging="360"/>
      </w:pPr>
    </w:lvl>
    <w:lvl w:ilvl="1" w:tplc="D7FC931C" w:tentative="1">
      <w:start w:val="1"/>
      <w:numFmt w:val="lowerLetter"/>
      <w:lvlText w:val="%2."/>
      <w:lvlJc w:val="left"/>
      <w:pPr>
        <w:ind w:left="2160" w:hanging="360"/>
      </w:pPr>
    </w:lvl>
    <w:lvl w:ilvl="2" w:tplc="FFF86956" w:tentative="1">
      <w:start w:val="1"/>
      <w:numFmt w:val="lowerRoman"/>
      <w:lvlText w:val="%3."/>
      <w:lvlJc w:val="right"/>
      <w:pPr>
        <w:ind w:left="2880" w:hanging="180"/>
      </w:pPr>
    </w:lvl>
    <w:lvl w:ilvl="3" w:tplc="99587054" w:tentative="1">
      <w:start w:val="1"/>
      <w:numFmt w:val="decimal"/>
      <w:lvlText w:val="%4."/>
      <w:lvlJc w:val="left"/>
      <w:pPr>
        <w:ind w:left="3600" w:hanging="360"/>
      </w:pPr>
    </w:lvl>
    <w:lvl w:ilvl="4" w:tplc="CF964F96" w:tentative="1">
      <w:start w:val="1"/>
      <w:numFmt w:val="lowerLetter"/>
      <w:lvlText w:val="%5."/>
      <w:lvlJc w:val="left"/>
      <w:pPr>
        <w:ind w:left="4320" w:hanging="360"/>
      </w:pPr>
    </w:lvl>
    <w:lvl w:ilvl="5" w:tplc="7F7428C8" w:tentative="1">
      <w:start w:val="1"/>
      <w:numFmt w:val="lowerRoman"/>
      <w:lvlText w:val="%6."/>
      <w:lvlJc w:val="right"/>
      <w:pPr>
        <w:ind w:left="5040" w:hanging="180"/>
      </w:pPr>
    </w:lvl>
    <w:lvl w:ilvl="6" w:tplc="C9E29608" w:tentative="1">
      <w:start w:val="1"/>
      <w:numFmt w:val="decimal"/>
      <w:lvlText w:val="%7."/>
      <w:lvlJc w:val="left"/>
      <w:pPr>
        <w:ind w:left="5760" w:hanging="360"/>
      </w:pPr>
    </w:lvl>
    <w:lvl w:ilvl="7" w:tplc="4C2224BE" w:tentative="1">
      <w:start w:val="1"/>
      <w:numFmt w:val="lowerLetter"/>
      <w:lvlText w:val="%8."/>
      <w:lvlJc w:val="left"/>
      <w:pPr>
        <w:ind w:left="6480" w:hanging="360"/>
      </w:pPr>
    </w:lvl>
    <w:lvl w:ilvl="8" w:tplc="EAE024F6" w:tentative="1">
      <w:start w:val="1"/>
      <w:numFmt w:val="lowerRoman"/>
      <w:lvlText w:val="%9."/>
      <w:lvlJc w:val="right"/>
      <w:pPr>
        <w:ind w:left="7200" w:hanging="180"/>
      </w:pPr>
    </w:lvl>
  </w:abstractNum>
  <w:abstractNum w:abstractNumId="2" w15:restartNumberingAfterBreak="0">
    <w:nsid w:val="1F3864D3"/>
    <w:multiLevelType w:val="hybridMultilevel"/>
    <w:tmpl w:val="0678648A"/>
    <w:lvl w:ilvl="0" w:tplc="EC040786">
      <w:start w:val="1"/>
      <w:numFmt w:val="decimal"/>
      <w:lvlText w:val="%1."/>
      <w:lvlJc w:val="left"/>
      <w:pPr>
        <w:ind w:left="720" w:hanging="360"/>
      </w:pPr>
    </w:lvl>
    <w:lvl w:ilvl="1" w:tplc="0CCE99B8" w:tentative="1">
      <w:start w:val="1"/>
      <w:numFmt w:val="lowerLetter"/>
      <w:lvlText w:val="%2."/>
      <w:lvlJc w:val="left"/>
      <w:pPr>
        <w:ind w:left="1440" w:hanging="360"/>
      </w:pPr>
    </w:lvl>
    <w:lvl w:ilvl="2" w:tplc="BEA2D8A8" w:tentative="1">
      <w:start w:val="1"/>
      <w:numFmt w:val="lowerRoman"/>
      <w:lvlText w:val="%3."/>
      <w:lvlJc w:val="right"/>
      <w:pPr>
        <w:ind w:left="2160" w:hanging="180"/>
      </w:pPr>
    </w:lvl>
    <w:lvl w:ilvl="3" w:tplc="3C526944" w:tentative="1">
      <w:start w:val="1"/>
      <w:numFmt w:val="decimal"/>
      <w:lvlText w:val="%4."/>
      <w:lvlJc w:val="left"/>
      <w:pPr>
        <w:ind w:left="2880" w:hanging="360"/>
      </w:pPr>
    </w:lvl>
    <w:lvl w:ilvl="4" w:tplc="CAC0BA3E" w:tentative="1">
      <w:start w:val="1"/>
      <w:numFmt w:val="lowerLetter"/>
      <w:lvlText w:val="%5."/>
      <w:lvlJc w:val="left"/>
      <w:pPr>
        <w:ind w:left="3600" w:hanging="360"/>
      </w:pPr>
    </w:lvl>
    <w:lvl w:ilvl="5" w:tplc="8AB24176" w:tentative="1">
      <w:start w:val="1"/>
      <w:numFmt w:val="lowerRoman"/>
      <w:lvlText w:val="%6."/>
      <w:lvlJc w:val="right"/>
      <w:pPr>
        <w:ind w:left="4320" w:hanging="180"/>
      </w:pPr>
    </w:lvl>
    <w:lvl w:ilvl="6" w:tplc="AC306288" w:tentative="1">
      <w:start w:val="1"/>
      <w:numFmt w:val="decimal"/>
      <w:lvlText w:val="%7."/>
      <w:lvlJc w:val="left"/>
      <w:pPr>
        <w:ind w:left="5040" w:hanging="360"/>
      </w:pPr>
    </w:lvl>
    <w:lvl w:ilvl="7" w:tplc="9940C056" w:tentative="1">
      <w:start w:val="1"/>
      <w:numFmt w:val="lowerLetter"/>
      <w:lvlText w:val="%8."/>
      <w:lvlJc w:val="left"/>
      <w:pPr>
        <w:ind w:left="5760" w:hanging="360"/>
      </w:pPr>
    </w:lvl>
    <w:lvl w:ilvl="8" w:tplc="5686C7EE" w:tentative="1">
      <w:start w:val="1"/>
      <w:numFmt w:val="lowerRoman"/>
      <w:lvlText w:val="%9."/>
      <w:lvlJc w:val="right"/>
      <w:pPr>
        <w:ind w:left="6480" w:hanging="180"/>
      </w:pPr>
    </w:lvl>
  </w:abstractNum>
  <w:abstractNum w:abstractNumId="3" w15:restartNumberingAfterBreak="0">
    <w:nsid w:val="212414B5"/>
    <w:multiLevelType w:val="hybridMultilevel"/>
    <w:tmpl w:val="10D64452"/>
    <w:lvl w:ilvl="0" w:tplc="7BBEC90E">
      <w:start w:val="1"/>
      <w:numFmt w:val="decimal"/>
      <w:lvlText w:val="%1."/>
      <w:lvlJc w:val="left"/>
      <w:pPr>
        <w:ind w:left="720" w:hanging="360"/>
      </w:pPr>
    </w:lvl>
    <w:lvl w:ilvl="1" w:tplc="911ED876" w:tentative="1">
      <w:start w:val="1"/>
      <w:numFmt w:val="lowerLetter"/>
      <w:lvlText w:val="%2."/>
      <w:lvlJc w:val="left"/>
      <w:pPr>
        <w:ind w:left="1440" w:hanging="360"/>
      </w:pPr>
    </w:lvl>
    <w:lvl w:ilvl="2" w:tplc="D2C20184" w:tentative="1">
      <w:start w:val="1"/>
      <w:numFmt w:val="lowerRoman"/>
      <w:lvlText w:val="%3."/>
      <w:lvlJc w:val="right"/>
      <w:pPr>
        <w:ind w:left="2160" w:hanging="180"/>
      </w:pPr>
    </w:lvl>
    <w:lvl w:ilvl="3" w:tplc="8DC07534" w:tentative="1">
      <w:start w:val="1"/>
      <w:numFmt w:val="decimal"/>
      <w:lvlText w:val="%4."/>
      <w:lvlJc w:val="left"/>
      <w:pPr>
        <w:ind w:left="2880" w:hanging="360"/>
      </w:pPr>
    </w:lvl>
    <w:lvl w:ilvl="4" w:tplc="E638A574" w:tentative="1">
      <w:start w:val="1"/>
      <w:numFmt w:val="lowerLetter"/>
      <w:lvlText w:val="%5."/>
      <w:lvlJc w:val="left"/>
      <w:pPr>
        <w:ind w:left="3600" w:hanging="360"/>
      </w:pPr>
    </w:lvl>
    <w:lvl w:ilvl="5" w:tplc="C34CBFC8" w:tentative="1">
      <w:start w:val="1"/>
      <w:numFmt w:val="lowerRoman"/>
      <w:lvlText w:val="%6."/>
      <w:lvlJc w:val="right"/>
      <w:pPr>
        <w:ind w:left="4320" w:hanging="180"/>
      </w:pPr>
    </w:lvl>
    <w:lvl w:ilvl="6" w:tplc="01FC7674" w:tentative="1">
      <w:start w:val="1"/>
      <w:numFmt w:val="decimal"/>
      <w:lvlText w:val="%7."/>
      <w:lvlJc w:val="left"/>
      <w:pPr>
        <w:ind w:left="5040" w:hanging="360"/>
      </w:pPr>
    </w:lvl>
    <w:lvl w:ilvl="7" w:tplc="D430AC8E" w:tentative="1">
      <w:start w:val="1"/>
      <w:numFmt w:val="lowerLetter"/>
      <w:lvlText w:val="%8."/>
      <w:lvlJc w:val="left"/>
      <w:pPr>
        <w:ind w:left="5760" w:hanging="360"/>
      </w:pPr>
    </w:lvl>
    <w:lvl w:ilvl="8" w:tplc="4E2E9590" w:tentative="1">
      <w:start w:val="1"/>
      <w:numFmt w:val="lowerRoman"/>
      <w:lvlText w:val="%9."/>
      <w:lvlJc w:val="right"/>
      <w:pPr>
        <w:ind w:left="6480" w:hanging="180"/>
      </w:pPr>
    </w:lvl>
  </w:abstractNum>
  <w:abstractNum w:abstractNumId="4" w15:restartNumberingAfterBreak="0">
    <w:nsid w:val="3A616B3A"/>
    <w:multiLevelType w:val="hybridMultilevel"/>
    <w:tmpl w:val="B658DB52"/>
    <w:lvl w:ilvl="0" w:tplc="F4DAED7A">
      <w:start w:val="1"/>
      <w:numFmt w:val="lowerLetter"/>
      <w:lvlText w:val="%1)"/>
      <w:lvlJc w:val="left"/>
      <w:pPr>
        <w:ind w:left="1440" w:hanging="360"/>
      </w:pPr>
    </w:lvl>
    <w:lvl w:ilvl="1" w:tplc="0D12CD4A" w:tentative="1">
      <w:start w:val="1"/>
      <w:numFmt w:val="lowerLetter"/>
      <w:lvlText w:val="%2."/>
      <w:lvlJc w:val="left"/>
      <w:pPr>
        <w:ind w:left="2160" w:hanging="360"/>
      </w:pPr>
    </w:lvl>
    <w:lvl w:ilvl="2" w:tplc="1BBC4842" w:tentative="1">
      <w:start w:val="1"/>
      <w:numFmt w:val="lowerRoman"/>
      <w:lvlText w:val="%3."/>
      <w:lvlJc w:val="right"/>
      <w:pPr>
        <w:ind w:left="2880" w:hanging="180"/>
      </w:pPr>
    </w:lvl>
    <w:lvl w:ilvl="3" w:tplc="8AE04686" w:tentative="1">
      <w:start w:val="1"/>
      <w:numFmt w:val="decimal"/>
      <w:lvlText w:val="%4."/>
      <w:lvlJc w:val="left"/>
      <w:pPr>
        <w:ind w:left="3600" w:hanging="360"/>
      </w:pPr>
    </w:lvl>
    <w:lvl w:ilvl="4" w:tplc="F7B477E2" w:tentative="1">
      <w:start w:val="1"/>
      <w:numFmt w:val="lowerLetter"/>
      <w:lvlText w:val="%5."/>
      <w:lvlJc w:val="left"/>
      <w:pPr>
        <w:ind w:left="4320" w:hanging="360"/>
      </w:pPr>
    </w:lvl>
    <w:lvl w:ilvl="5" w:tplc="A6B8903E" w:tentative="1">
      <w:start w:val="1"/>
      <w:numFmt w:val="lowerRoman"/>
      <w:lvlText w:val="%6."/>
      <w:lvlJc w:val="right"/>
      <w:pPr>
        <w:ind w:left="5040" w:hanging="180"/>
      </w:pPr>
    </w:lvl>
    <w:lvl w:ilvl="6" w:tplc="0CD236EA" w:tentative="1">
      <w:start w:val="1"/>
      <w:numFmt w:val="decimal"/>
      <w:lvlText w:val="%7."/>
      <w:lvlJc w:val="left"/>
      <w:pPr>
        <w:ind w:left="5760" w:hanging="360"/>
      </w:pPr>
    </w:lvl>
    <w:lvl w:ilvl="7" w:tplc="36FCF39A" w:tentative="1">
      <w:start w:val="1"/>
      <w:numFmt w:val="lowerLetter"/>
      <w:lvlText w:val="%8."/>
      <w:lvlJc w:val="left"/>
      <w:pPr>
        <w:ind w:left="6480" w:hanging="360"/>
      </w:pPr>
    </w:lvl>
    <w:lvl w:ilvl="8" w:tplc="E6748DEE" w:tentative="1">
      <w:start w:val="1"/>
      <w:numFmt w:val="lowerRoman"/>
      <w:lvlText w:val="%9."/>
      <w:lvlJc w:val="right"/>
      <w:pPr>
        <w:ind w:left="7200" w:hanging="180"/>
      </w:pPr>
    </w:lvl>
  </w:abstractNum>
  <w:abstractNum w:abstractNumId="5" w15:restartNumberingAfterBreak="0">
    <w:nsid w:val="69786CF9"/>
    <w:multiLevelType w:val="hybridMultilevel"/>
    <w:tmpl w:val="40F67338"/>
    <w:lvl w:ilvl="0" w:tplc="D4C62FB0">
      <w:start w:val="1"/>
      <w:numFmt w:val="lowerLetter"/>
      <w:lvlText w:val="%1)"/>
      <w:lvlJc w:val="left"/>
      <w:pPr>
        <w:ind w:left="1440" w:hanging="360"/>
      </w:pPr>
    </w:lvl>
    <w:lvl w:ilvl="1" w:tplc="DC3228AE" w:tentative="1">
      <w:start w:val="1"/>
      <w:numFmt w:val="lowerLetter"/>
      <w:lvlText w:val="%2."/>
      <w:lvlJc w:val="left"/>
      <w:pPr>
        <w:ind w:left="2160" w:hanging="360"/>
      </w:pPr>
    </w:lvl>
    <w:lvl w:ilvl="2" w:tplc="EC4CAE12" w:tentative="1">
      <w:start w:val="1"/>
      <w:numFmt w:val="lowerRoman"/>
      <w:lvlText w:val="%3."/>
      <w:lvlJc w:val="right"/>
      <w:pPr>
        <w:ind w:left="2880" w:hanging="180"/>
      </w:pPr>
    </w:lvl>
    <w:lvl w:ilvl="3" w:tplc="8164700A" w:tentative="1">
      <w:start w:val="1"/>
      <w:numFmt w:val="decimal"/>
      <w:lvlText w:val="%4."/>
      <w:lvlJc w:val="left"/>
      <w:pPr>
        <w:ind w:left="3600" w:hanging="360"/>
      </w:pPr>
    </w:lvl>
    <w:lvl w:ilvl="4" w:tplc="A79C95FE" w:tentative="1">
      <w:start w:val="1"/>
      <w:numFmt w:val="lowerLetter"/>
      <w:lvlText w:val="%5."/>
      <w:lvlJc w:val="left"/>
      <w:pPr>
        <w:ind w:left="4320" w:hanging="360"/>
      </w:pPr>
    </w:lvl>
    <w:lvl w:ilvl="5" w:tplc="AA8E9F5A" w:tentative="1">
      <w:start w:val="1"/>
      <w:numFmt w:val="lowerRoman"/>
      <w:lvlText w:val="%6."/>
      <w:lvlJc w:val="right"/>
      <w:pPr>
        <w:ind w:left="5040" w:hanging="180"/>
      </w:pPr>
    </w:lvl>
    <w:lvl w:ilvl="6" w:tplc="CC428146" w:tentative="1">
      <w:start w:val="1"/>
      <w:numFmt w:val="decimal"/>
      <w:lvlText w:val="%7."/>
      <w:lvlJc w:val="left"/>
      <w:pPr>
        <w:ind w:left="5760" w:hanging="360"/>
      </w:pPr>
    </w:lvl>
    <w:lvl w:ilvl="7" w:tplc="BD1C4D1E" w:tentative="1">
      <w:start w:val="1"/>
      <w:numFmt w:val="lowerLetter"/>
      <w:lvlText w:val="%8."/>
      <w:lvlJc w:val="left"/>
      <w:pPr>
        <w:ind w:left="6480" w:hanging="360"/>
      </w:pPr>
    </w:lvl>
    <w:lvl w:ilvl="8" w:tplc="E68E98F4" w:tentative="1">
      <w:start w:val="1"/>
      <w:numFmt w:val="lowerRoman"/>
      <w:lvlText w:val="%9."/>
      <w:lvlJc w:val="right"/>
      <w:pPr>
        <w:ind w:left="7200" w:hanging="180"/>
      </w:pPr>
    </w:lvl>
  </w:abstractNum>
  <w:abstractNum w:abstractNumId="6" w15:restartNumberingAfterBreak="0">
    <w:nsid w:val="74DF4EB8"/>
    <w:multiLevelType w:val="hybridMultilevel"/>
    <w:tmpl w:val="7258F496"/>
    <w:lvl w:ilvl="0" w:tplc="FCC4814E">
      <w:start w:val="1"/>
      <w:numFmt w:val="lowerLetter"/>
      <w:lvlText w:val="%1)"/>
      <w:lvlJc w:val="left"/>
      <w:pPr>
        <w:ind w:left="1500" w:hanging="360"/>
      </w:pPr>
    </w:lvl>
    <w:lvl w:ilvl="1" w:tplc="2DD83F2C" w:tentative="1">
      <w:start w:val="1"/>
      <w:numFmt w:val="lowerLetter"/>
      <w:lvlText w:val="%2."/>
      <w:lvlJc w:val="left"/>
      <w:pPr>
        <w:ind w:left="2220" w:hanging="360"/>
      </w:pPr>
    </w:lvl>
    <w:lvl w:ilvl="2" w:tplc="E864C50A" w:tentative="1">
      <w:start w:val="1"/>
      <w:numFmt w:val="lowerRoman"/>
      <w:lvlText w:val="%3."/>
      <w:lvlJc w:val="right"/>
      <w:pPr>
        <w:ind w:left="2940" w:hanging="180"/>
      </w:pPr>
    </w:lvl>
    <w:lvl w:ilvl="3" w:tplc="AF56162C" w:tentative="1">
      <w:start w:val="1"/>
      <w:numFmt w:val="decimal"/>
      <w:lvlText w:val="%4."/>
      <w:lvlJc w:val="left"/>
      <w:pPr>
        <w:ind w:left="3660" w:hanging="360"/>
      </w:pPr>
    </w:lvl>
    <w:lvl w:ilvl="4" w:tplc="E94CC4D0" w:tentative="1">
      <w:start w:val="1"/>
      <w:numFmt w:val="lowerLetter"/>
      <w:lvlText w:val="%5."/>
      <w:lvlJc w:val="left"/>
      <w:pPr>
        <w:ind w:left="4380" w:hanging="360"/>
      </w:pPr>
    </w:lvl>
    <w:lvl w:ilvl="5" w:tplc="FD320C72" w:tentative="1">
      <w:start w:val="1"/>
      <w:numFmt w:val="lowerRoman"/>
      <w:lvlText w:val="%6."/>
      <w:lvlJc w:val="right"/>
      <w:pPr>
        <w:ind w:left="5100" w:hanging="180"/>
      </w:pPr>
    </w:lvl>
    <w:lvl w:ilvl="6" w:tplc="B888CCCE" w:tentative="1">
      <w:start w:val="1"/>
      <w:numFmt w:val="decimal"/>
      <w:lvlText w:val="%7."/>
      <w:lvlJc w:val="left"/>
      <w:pPr>
        <w:ind w:left="5820" w:hanging="360"/>
      </w:pPr>
    </w:lvl>
    <w:lvl w:ilvl="7" w:tplc="BABC31EC" w:tentative="1">
      <w:start w:val="1"/>
      <w:numFmt w:val="lowerLetter"/>
      <w:lvlText w:val="%8."/>
      <w:lvlJc w:val="left"/>
      <w:pPr>
        <w:ind w:left="6540" w:hanging="360"/>
      </w:pPr>
    </w:lvl>
    <w:lvl w:ilvl="8" w:tplc="7D7C647E" w:tentative="1">
      <w:start w:val="1"/>
      <w:numFmt w:val="lowerRoman"/>
      <w:lvlText w:val="%9."/>
      <w:lvlJc w:val="right"/>
      <w:pPr>
        <w:ind w:left="7260" w:hanging="180"/>
      </w:pPr>
    </w:lvl>
  </w:abstractNum>
  <w:abstractNum w:abstractNumId="7" w15:restartNumberingAfterBreak="0">
    <w:nsid w:val="7F9E27D1"/>
    <w:multiLevelType w:val="hybridMultilevel"/>
    <w:tmpl w:val="7EA4F91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6"/>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F92"/>
    <w:rsid w:val="0002598A"/>
    <w:rsid w:val="000C5F92"/>
    <w:rsid w:val="001E2379"/>
    <w:rsid w:val="0028203A"/>
    <w:rsid w:val="002B1BED"/>
    <w:rsid w:val="004A18F4"/>
    <w:rsid w:val="005B604F"/>
    <w:rsid w:val="005C2EE0"/>
    <w:rsid w:val="00685A53"/>
    <w:rsid w:val="006F3318"/>
    <w:rsid w:val="007355DD"/>
    <w:rsid w:val="00857269"/>
    <w:rsid w:val="008E0B1D"/>
    <w:rsid w:val="00CC0EAC"/>
    <w:rsid w:val="00CC3FAA"/>
    <w:rsid w:val="00D112D8"/>
    <w:rsid w:val="00D21FAC"/>
    <w:rsid w:val="00D45AC9"/>
    <w:rsid w:val="00E62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160B2"/>
  <w15:chartTrackingRefBased/>
  <w15:docId w15:val="{8C94AE55-62C9-4254-81C8-FDEBCD24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8F4"/>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F92"/>
    <w:pPr>
      <w:spacing w:after="160" w:line="259" w:lineRule="auto"/>
      <w:ind w:left="720"/>
      <w:contextualSpacing/>
      <w:jc w:val="left"/>
    </w:pPr>
    <w:rPr>
      <w:rFonts w:asciiTheme="minorHAnsi" w:hAnsiTheme="minorHAnsi"/>
      <w:sz w:val="22"/>
    </w:rPr>
  </w:style>
  <w:style w:type="paragraph" w:styleId="NormalWeb">
    <w:name w:val="Normal (Web)"/>
    <w:basedOn w:val="Normal"/>
    <w:uiPriority w:val="99"/>
    <w:semiHidden/>
    <w:unhideWhenUsed/>
    <w:rsid w:val="00685A53"/>
    <w:pPr>
      <w:spacing w:before="100" w:beforeAutospacing="1" w:after="100" w:afterAutospacing="1" w:line="240" w:lineRule="auto"/>
      <w:jc w:val="left"/>
    </w:pPr>
    <w:rPr>
      <w:rFonts w:eastAsia="Times New Roman" w:cs="Times New Roman"/>
      <w:szCs w:val="24"/>
    </w:rPr>
  </w:style>
  <w:style w:type="table" w:styleId="TableGrid">
    <w:name w:val="Table Grid"/>
    <w:basedOn w:val="TableNormal"/>
    <w:uiPriority w:val="39"/>
    <w:rsid w:val="0068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1</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2020-01-28T12:48:00Z</dcterms:created>
  <dcterms:modified xsi:type="dcterms:W3CDTF">2020-01-28T21:19:00Z</dcterms:modified>
</cp:coreProperties>
</file>